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C8B89" w14:textId="4A11DC4F" w:rsidR="006A1514" w:rsidRPr="009859E6" w:rsidRDefault="003D1518" w:rsidP="008002E1">
      <w:pPr>
        <w:rPr>
          <w:rFonts w:ascii="Open Sans Regular" w:hAnsi="Open Sans Regular"/>
          <w:sz w:val="40"/>
          <w:lang w:val="en-GB"/>
        </w:rPr>
      </w:pPr>
      <w:r w:rsidRPr="009859E6">
        <w:rPr>
          <w:rFonts w:ascii="Open Sans Regular" w:hAnsi="Open Sans Regular"/>
          <w:sz w:val="40"/>
          <w:lang w:val="en-GB"/>
        </w:rPr>
        <w:t xml:space="preserve">Dashboard </w:t>
      </w:r>
      <w:r w:rsidR="008A0B1E" w:rsidRPr="009859E6">
        <w:rPr>
          <w:rFonts w:ascii="Open Sans Regular" w:hAnsi="Open Sans Regular"/>
          <w:sz w:val="40"/>
          <w:lang w:val="en-GB"/>
        </w:rPr>
        <w:t>Methodology</w:t>
      </w:r>
      <w:r w:rsidR="005A30A9">
        <w:rPr>
          <w:rFonts w:ascii="Open Sans Regular" w:hAnsi="Open Sans Regular"/>
          <w:sz w:val="40"/>
          <w:lang w:val="en-GB"/>
        </w:rPr>
        <w:t>: 6C</w:t>
      </w:r>
    </w:p>
    <w:p w14:paraId="1D4748D6" w14:textId="0F24985C" w:rsidR="00E55321" w:rsidRPr="009859E6" w:rsidRDefault="00E55321">
      <w:pPr>
        <w:rPr>
          <w:rFonts w:ascii="Open Sans Bold Italic" w:hAnsi="Open Sans Bold Italic"/>
          <w:sz w:val="22"/>
          <w:lang w:val="en-GB"/>
        </w:rPr>
      </w:pPr>
      <w:r w:rsidRPr="009859E6">
        <w:rPr>
          <w:rFonts w:ascii="Open Sans Bold Italic" w:hAnsi="Open Sans Bold Italic"/>
          <w:sz w:val="22"/>
          <w:lang w:val="en-GB"/>
        </w:rPr>
        <w:t xml:space="preserve">Commitment </w:t>
      </w:r>
      <w:r w:rsidR="005A30A9">
        <w:rPr>
          <w:rFonts w:ascii="Open Sans Bold Italic" w:hAnsi="Open Sans Bold Italic"/>
          <w:sz w:val="22"/>
          <w:lang w:val="en-GB"/>
        </w:rPr>
        <w:t>6: Locally Managed Ecosystems</w:t>
      </w:r>
      <w:r w:rsidRPr="009859E6">
        <w:rPr>
          <w:rFonts w:ascii="Open Sans Bold Italic" w:hAnsi="Open Sans Bold Italic"/>
          <w:sz w:val="22"/>
          <w:lang w:val="en-GB"/>
        </w:rPr>
        <w:t xml:space="preserve"> </w:t>
      </w:r>
    </w:p>
    <w:p w14:paraId="17071092" w14:textId="6F068536" w:rsidR="005859FB" w:rsidRPr="009859E6" w:rsidRDefault="008002E1">
      <w:pPr>
        <w:rPr>
          <w:rFonts w:ascii="Open Sans ExtraBold" w:hAnsi="Open Sans ExtraBold"/>
          <w:color w:val="93BA85"/>
          <w:sz w:val="22"/>
          <w:lang w:val="en-GB"/>
        </w:rPr>
      </w:pPr>
      <w:r w:rsidRPr="009859E6">
        <w:rPr>
          <w:rFonts w:ascii="Open Sans ExtraBold" w:hAnsi="Open Sans ExtraBold"/>
          <w:noProof/>
          <w:color w:val="93BA85"/>
          <w:sz w:val="22"/>
        </w:rPr>
        <mc:AlternateContent>
          <mc:Choice Requires="wps">
            <w:drawing>
              <wp:anchor distT="0" distB="0" distL="114300" distR="114300" simplePos="0" relativeHeight="251659264" behindDoc="0" locked="0" layoutInCell="1" allowOverlap="1" wp14:anchorId="0893552C" wp14:editId="17398679">
                <wp:simplePos x="0" y="0"/>
                <wp:positionH relativeFrom="column">
                  <wp:posOffset>0</wp:posOffset>
                </wp:positionH>
                <wp:positionV relativeFrom="paragraph">
                  <wp:posOffset>177165</wp:posOffset>
                </wp:positionV>
                <wp:extent cx="6514211" cy="0"/>
                <wp:effectExtent l="0" t="0" r="13970" b="25400"/>
                <wp:wrapNone/>
                <wp:docPr id="1" name="Straight Connector 1"/>
                <wp:cNvGraphicFramePr/>
                <a:graphic xmlns:a="http://schemas.openxmlformats.org/drawingml/2006/main">
                  <a:graphicData uri="http://schemas.microsoft.com/office/word/2010/wordprocessingShape">
                    <wps:wsp>
                      <wps:cNvCnPr/>
                      <wps:spPr>
                        <a:xfrm>
                          <a:off x="0" y="0"/>
                          <a:ext cx="6514211" cy="0"/>
                        </a:xfrm>
                        <a:prstGeom prst="line">
                          <a:avLst/>
                        </a:prstGeom>
                        <a:ln w="19050" cmpd="sng">
                          <a:solidFill>
                            <a:schemeClr val="accent5">
                              <a:lumMod val="60000"/>
                              <a:lumOff val="40000"/>
                            </a:schemeClr>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91D47B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95pt" to="512.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" strokecolor="#92cddc [1944]" strokeweight="1.5pt"/>
            </w:pict>
          </mc:Fallback>
        </mc:AlternateContent>
      </w:r>
    </w:p>
    <w:p w14:paraId="6831497F" w14:textId="77777777" w:rsidR="001A7F74" w:rsidRPr="009859E6" w:rsidRDefault="001A7F74">
      <w:pPr>
        <w:rPr>
          <w:rFonts w:ascii="Open Sans ExtraBold" w:hAnsi="Open Sans ExtraBold"/>
          <w:color w:val="93BA85"/>
          <w:sz w:val="22"/>
          <w:lang w:val="en-GB"/>
        </w:rPr>
      </w:pPr>
    </w:p>
    <w:p w14:paraId="31E21468" w14:textId="77777777" w:rsidR="00C03116" w:rsidRPr="009859E6" w:rsidRDefault="00C03116">
      <w:pPr>
        <w:rPr>
          <w:rFonts w:ascii="Open Sans Light" w:hAnsi="Open Sans Light"/>
          <w:color w:val="93BA85"/>
          <w:sz w:val="22"/>
          <w:lang w:val="en-GB"/>
        </w:rPr>
      </w:pPr>
    </w:p>
    <w:tbl>
      <w:tblPr>
        <w:tblStyle w:val="LightGrid"/>
        <w:tblW w:w="0" w:type="auto"/>
        <w:tblLook w:val="04A0" w:firstRow="1" w:lastRow="0" w:firstColumn="1" w:lastColumn="0" w:noHBand="0" w:noVBand="1"/>
      </w:tblPr>
      <w:tblGrid>
        <w:gridCol w:w="468"/>
        <w:gridCol w:w="9972"/>
      </w:tblGrid>
      <w:tr w:rsidR="008002E1" w:rsidRPr="009859E6" w14:paraId="072ED24A" w14:textId="77777777" w:rsidTr="00E66B92">
        <w:trPr>
          <w:cnfStyle w:val="100000000000" w:firstRow="1" w:lastRow="0" w:firstColumn="0" w:lastColumn="0" w:oddVBand="0" w:evenVBand="0" w:oddHBand="0"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468" w:type="dxa"/>
            <w:vAlign w:val="center"/>
          </w:tcPr>
          <w:p w14:paraId="760B14F0" w14:textId="324F0B8C" w:rsidR="008002E1" w:rsidRPr="009859E6" w:rsidRDefault="005A30A9" w:rsidP="00E66B92">
            <w:pPr>
              <w:jc w:val="center"/>
              <w:rPr>
                <w:rFonts w:ascii="Open Sans Light" w:hAnsi="Open Sans Light"/>
                <w:b w:val="0"/>
                <w:sz w:val="20"/>
                <w:szCs w:val="28"/>
                <w:lang w:val="en-GB"/>
              </w:rPr>
            </w:pPr>
            <w:r>
              <w:rPr>
                <w:rFonts w:ascii="Open Sans Light" w:hAnsi="Open Sans Light"/>
                <w:b w:val="0"/>
                <w:sz w:val="20"/>
                <w:szCs w:val="28"/>
                <w:lang w:val="en-GB"/>
              </w:rPr>
              <w:t>6C</w:t>
            </w:r>
          </w:p>
        </w:tc>
        <w:tc>
          <w:tcPr>
            <w:tcW w:w="9972" w:type="dxa"/>
            <w:vAlign w:val="center"/>
          </w:tcPr>
          <w:p w14:paraId="222F2F1B" w14:textId="09BF86BB" w:rsidR="008002E1" w:rsidRPr="009859E6" w:rsidRDefault="005A30A9" w:rsidP="001A2A30">
            <w:pPr>
              <w:cnfStyle w:val="100000000000" w:firstRow="1" w:lastRow="0" w:firstColumn="0" w:lastColumn="0" w:oddVBand="0" w:evenVBand="0" w:oddHBand="0" w:evenHBand="0" w:firstRowFirstColumn="0" w:firstRowLastColumn="0" w:lastRowFirstColumn="0" w:lastRowLastColumn="0"/>
              <w:rPr>
                <w:rFonts w:ascii="Open Sans Light" w:hAnsi="Open Sans Light"/>
                <w:b w:val="0"/>
                <w:sz w:val="20"/>
                <w:szCs w:val="28"/>
                <w:lang w:val="en-GB"/>
              </w:rPr>
            </w:pPr>
            <w:r>
              <w:rPr>
                <w:rFonts w:ascii="Open Sans Light" w:hAnsi="Open Sans Light"/>
                <w:b w:val="0"/>
                <w:sz w:val="20"/>
                <w:szCs w:val="28"/>
                <w:lang w:val="en-GB"/>
              </w:rPr>
              <w:t xml:space="preserve">Local control of land and ecosystems </w:t>
            </w:r>
          </w:p>
        </w:tc>
      </w:tr>
    </w:tbl>
    <w:p w14:paraId="7720DCED" w14:textId="77777777" w:rsidR="00D504F6" w:rsidRPr="009859E6" w:rsidRDefault="00D504F6">
      <w:pPr>
        <w:rPr>
          <w:rFonts w:ascii="Open Sans Light" w:hAnsi="Open Sans Light"/>
          <w:color w:val="93BA85"/>
          <w:sz w:val="20"/>
          <w:lang w:val="en-GB"/>
        </w:rPr>
      </w:pPr>
    </w:p>
    <w:p w14:paraId="7C05CCE3" w14:textId="77777777" w:rsidR="00150C79" w:rsidRPr="009859E6" w:rsidRDefault="00150C79">
      <w:pPr>
        <w:rPr>
          <w:rFonts w:ascii="Open Sans Regular" w:hAnsi="Open Sans Regular"/>
          <w:sz w:val="20"/>
          <w:szCs w:val="16"/>
          <w:lang w:val="en-GB"/>
        </w:rPr>
      </w:pPr>
    </w:p>
    <w:p w14:paraId="6E6DA286" w14:textId="77777777" w:rsidR="008E5D57" w:rsidRPr="009859E6" w:rsidRDefault="008E5D57">
      <w:pPr>
        <w:rPr>
          <w:rFonts w:ascii="Open Sans Regular" w:hAnsi="Open Sans Regular"/>
          <w:sz w:val="20"/>
          <w:szCs w:val="16"/>
          <w:lang w:val="en-GB"/>
        </w:rPr>
      </w:pPr>
      <w:r w:rsidRPr="009859E6">
        <w:rPr>
          <w:rFonts w:ascii="Open Sans Regular" w:hAnsi="Open Sans Regular"/>
          <w:sz w:val="20"/>
          <w:szCs w:val="16"/>
          <w:lang w:val="en-GB"/>
        </w:rPr>
        <w:br w:type="page"/>
      </w:r>
    </w:p>
    <w:p w14:paraId="42C85E05" w14:textId="7F72B3EE" w:rsidR="00D504F6" w:rsidRPr="009859E6" w:rsidRDefault="00C03116">
      <w:pPr>
        <w:rPr>
          <w:rFonts w:ascii="Open Sans Regular" w:hAnsi="Open Sans Regular"/>
          <w:sz w:val="20"/>
          <w:szCs w:val="16"/>
          <w:lang w:val="en-GB"/>
        </w:rPr>
      </w:pPr>
      <w:r w:rsidRPr="009859E6">
        <w:rPr>
          <w:rFonts w:ascii="Open Sans Regular" w:hAnsi="Open Sans Regular"/>
          <w:sz w:val="20"/>
          <w:szCs w:val="16"/>
          <w:lang w:val="en-GB"/>
        </w:rPr>
        <w:lastRenderedPageBreak/>
        <w:t xml:space="preserve">Section 1: Description of Indicator, </w:t>
      </w:r>
      <w:r w:rsidR="00D504F6" w:rsidRPr="009859E6">
        <w:rPr>
          <w:rFonts w:ascii="Open Sans Regular" w:hAnsi="Open Sans Regular"/>
          <w:sz w:val="20"/>
          <w:szCs w:val="16"/>
          <w:lang w:val="en-GB"/>
        </w:rPr>
        <w:t xml:space="preserve">Implementation </w:t>
      </w:r>
      <w:r w:rsidRPr="009859E6">
        <w:rPr>
          <w:rFonts w:ascii="Open Sans Regular" w:hAnsi="Open Sans Regular"/>
          <w:sz w:val="20"/>
          <w:szCs w:val="16"/>
          <w:lang w:val="en-GB"/>
        </w:rPr>
        <w:t>and Scoring</w:t>
      </w:r>
    </w:p>
    <w:p w14:paraId="3F868182" w14:textId="77777777" w:rsidR="00C03116" w:rsidRPr="009859E6" w:rsidRDefault="00C03116">
      <w:pPr>
        <w:rPr>
          <w:rFonts w:ascii="Open Sans Light" w:hAnsi="Open Sans Light"/>
          <w:color w:val="93BA85"/>
          <w:sz w:val="16"/>
          <w:szCs w:val="16"/>
          <w:lang w:val="en-GB"/>
        </w:rPr>
      </w:pPr>
    </w:p>
    <w:tbl>
      <w:tblPr>
        <w:tblStyle w:val="LightList-Accent5"/>
        <w:tblW w:w="10458" w:type="dxa"/>
        <w:tblCellMar>
          <w:top w:w="72" w:type="dxa"/>
          <w:left w:w="115" w:type="dxa"/>
          <w:bottom w:w="72" w:type="dxa"/>
          <w:right w:w="115" w:type="dxa"/>
        </w:tblCellMar>
        <w:tblLook w:val="04A0" w:firstRow="1" w:lastRow="0" w:firstColumn="1" w:lastColumn="0" w:noHBand="0" w:noVBand="1"/>
      </w:tblPr>
      <w:tblGrid>
        <w:gridCol w:w="1860"/>
        <w:gridCol w:w="8598"/>
      </w:tblGrid>
      <w:tr w:rsidR="00FD680E" w:rsidRPr="009859E6" w14:paraId="17C58F9C" w14:textId="77777777" w:rsidTr="00C03116">
        <w:trPr>
          <w:cnfStyle w:val="100000000000" w:firstRow="1" w:lastRow="0" w:firstColumn="0" w:lastColumn="0" w:oddVBand="0" w:evenVBand="0" w:oddHBand="0"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8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E0E8113" w14:textId="04B311F8" w:rsidR="00FD680E" w:rsidRPr="009859E6" w:rsidRDefault="00FD680E" w:rsidP="000E2C34">
            <w:pPr>
              <w:rPr>
                <w:rFonts w:ascii="Open Sans Light" w:hAnsi="Open Sans Light"/>
                <w:b w:val="0"/>
                <w:color w:val="auto"/>
                <w:sz w:val="16"/>
                <w:szCs w:val="16"/>
                <w:lang w:val="en-GB"/>
              </w:rPr>
            </w:pPr>
            <w:r w:rsidRPr="009859E6">
              <w:rPr>
                <w:rFonts w:ascii="Open Sans Light" w:hAnsi="Open Sans Light"/>
                <w:b w:val="0"/>
                <w:color w:val="auto"/>
                <w:sz w:val="16"/>
                <w:szCs w:val="16"/>
                <w:lang w:val="en-GB"/>
              </w:rPr>
              <w:t>Method</w:t>
            </w:r>
            <w:r w:rsidR="00216F45" w:rsidRPr="009859E6">
              <w:rPr>
                <w:rFonts w:ascii="Open Sans Light" w:hAnsi="Open Sans Light"/>
                <w:b w:val="0"/>
                <w:color w:val="auto"/>
                <w:sz w:val="16"/>
                <w:szCs w:val="16"/>
                <w:lang w:val="en-GB"/>
              </w:rPr>
              <w:t xml:space="preserve"> to be Used</w:t>
            </w:r>
          </w:p>
        </w:tc>
        <w:tc>
          <w:tcPr>
            <w:tcW w:w="859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4ACDC9" w14:textId="45F807DC" w:rsidR="00FD680E" w:rsidRPr="009859E6" w:rsidRDefault="005716B6" w:rsidP="003143CE">
            <w:p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Pr>
                <w:rFonts w:ascii="Open Sans Light" w:hAnsi="Open Sans Light"/>
                <w:b w:val="0"/>
                <w:color w:val="auto"/>
                <w:sz w:val="16"/>
                <w:szCs w:val="16"/>
                <w:lang w:val="en-GB"/>
              </w:rPr>
              <w:t>Calculation Based on Available Data</w:t>
            </w:r>
          </w:p>
        </w:tc>
      </w:tr>
    </w:tbl>
    <w:p w14:paraId="64C50180" w14:textId="77777777" w:rsidR="00216F45" w:rsidRPr="009859E6" w:rsidRDefault="00216F45">
      <w:pPr>
        <w:rPr>
          <w:rFonts w:ascii="Open Sans Light" w:hAnsi="Open Sans Light"/>
          <w:sz w:val="16"/>
          <w:szCs w:val="16"/>
        </w:rPr>
      </w:pPr>
    </w:p>
    <w:tbl>
      <w:tblPr>
        <w:tblStyle w:val="LightList-Accent5"/>
        <w:tblW w:w="10458" w:type="dxa"/>
        <w:tblCellMar>
          <w:top w:w="86" w:type="dxa"/>
          <w:left w:w="115" w:type="dxa"/>
          <w:bottom w:w="86" w:type="dxa"/>
          <w:right w:w="115" w:type="dxa"/>
        </w:tblCellMar>
        <w:tblLook w:val="04A0" w:firstRow="1" w:lastRow="0" w:firstColumn="1" w:lastColumn="0" w:noHBand="0" w:noVBand="1"/>
      </w:tblPr>
      <w:tblGrid>
        <w:gridCol w:w="1860"/>
        <w:gridCol w:w="1765"/>
        <w:gridCol w:w="6833"/>
      </w:tblGrid>
      <w:tr w:rsidR="005716B6" w:rsidRPr="009859E6" w14:paraId="0A43C4CD" w14:textId="77777777" w:rsidTr="00412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Borders>
              <w:top w:val="single" w:sz="4" w:space="0" w:color="auto"/>
              <w:left w:val="single" w:sz="4" w:space="0" w:color="auto"/>
              <w:right w:val="single" w:sz="4" w:space="0" w:color="auto"/>
            </w:tcBorders>
            <w:shd w:val="clear" w:color="auto" w:fill="B6DDE8" w:themeFill="accent5" w:themeFillTint="66"/>
          </w:tcPr>
          <w:p w14:paraId="11230341" w14:textId="6A2CAA6D" w:rsidR="005716B6" w:rsidRPr="005716B6" w:rsidRDefault="005716B6">
            <w:pPr>
              <w:rPr>
                <w:rFonts w:ascii="Open Sans Light" w:hAnsi="Open Sans Light"/>
                <w:b w:val="0"/>
                <w:color w:val="auto"/>
                <w:sz w:val="16"/>
                <w:szCs w:val="16"/>
                <w:lang w:val="en-GB"/>
              </w:rPr>
            </w:pPr>
            <w:r w:rsidRPr="005716B6">
              <w:rPr>
                <w:rFonts w:ascii="Open Sans Light" w:hAnsi="Open Sans Light"/>
                <w:b w:val="0"/>
                <w:color w:val="auto"/>
                <w:sz w:val="16"/>
                <w:szCs w:val="16"/>
                <w:lang w:val="en-GB"/>
              </w:rPr>
              <w:t>Introduction</w:t>
            </w:r>
          </w:p>
        </w:tc>
        <w:tc>
          <w:tcPr>
            <w:tcW w:w="8598" w:type="dxa"/>
            <w:gridSpan w:val="2"/>
            <w:tcBorders>
              <w:top w:val="single" w:sz="4" w:space="0" w:color="auto"/>
              <w:left w:val="single" w:sz="4" w:space="0" w:color="auto"/>
              <w:right w:val="single" w:sz="4" w:space="0" w:color="auto"/>
            </w:tcBorders>
            <w:shd w:val="clear" w:color="auto" w:fill="FFFFFF" w:themeFill="background1"/>
          </w:tcPr>
          <w:p w14:paraId="14E828A0" w14:textId="77777777" w:rsidR="005716B6" w:rsidRDefault="005716B6" w:rsidP="005716B6">
            <w:p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rPr>
            </w:pPr>
            <w:r w:rsidRPr="005716B6">
              <w:rPr>
                <w:rFonts w:ascii="Open Sans Light" w:hAnsi="Open Sans Light"/>
                <w:b w:val="0"/>
                <w:color w:val="auto"/>
                <w:sz w:val="16"/>
              </w:rPr>
              <w:t xml:space="preserve">Indicator </w:t>
            </w:r>
            <w:r>
              <w:rPr>
                <w:rFonts w:ascii="Open Sans Light" w:hAnsi="Open Sans Light"/>
                <w:b w:val="0"/>
                <w:color w:val="auto"/>
                <w:sz w:val="16"/>
              </w:rPr>
              <w:t>6C</w:t>
            </w:r>
            <w:r w:rsidRPr="005716B6">
              <w:rPr>
                <w:rFonts w:ascii="Open Sans Light" w:hAnsi="Open Sans Light"/>
                <w:b w:val="0"/>
                <w:color w:val="auto"/>
                <w:sz w:val="16"/>
              </w:rPr>
              <w:t xml:space="preserve"> is scored to reflect both the legal presence of community-based tenure regimes that are classified as “designated for” or “owned by” Indigenous Peoples and local communities, and the extent of land where Indigenous Peoples and local communities have recognized rights under these legal frameworks.</w:t>
            </w:r>
          </w:p>
          <w:p w14:paraId="296B4590" w14:textId="77777777" w:rsidR="005716B6" w:rsidRDefault="005716B6" w:rsidP="005716B6">
            <w:p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rPr>
            </w:pPr>
          </w:p>
          <w:p w14:paraId="53A8B565" w14:textId="4C1E452F" w:rsidR="005716B6" w:rsidRPr="005716B6" w:rsidRDefault="005716B6" w:rsidP="005716B6">
            <w:p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Pr>
                <w:rFonts w:ascii="Open Sans Light" w:hAnsi="Open Sans Light"/>
                <w:b w:val="0"/>
                <w:color w:val="auto"/>
                <w:sz w:val="16"/>
              </w:rPr>
              <w:t xml:space="preserve">Using data collected by the Rights and Resources Initiative (RRI), the indicator is taken as a measure of local control over land and the ecosystems contained within. </w:t>
            </w:r>
          </w:p>
        </w:tc>
      </w:tr>
      <w:tr w:rsidR="005716B6" w:rsidRPr="009859E6" w14:paraId="70A9EFF6" w14:textId="77777777" w:rsidTr="00571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Borders>
              <w:top w:val="single" w:sz="4" w:space="0" w:color="auto"/>
              <w:left w:val="single" w:sz="4" w:space="0" w:color="auto"/>
              <w:right w:val="single" w:sz="4" w:space="0" w:color="auto"/>
            </w:tcBorders>
            <w:shd w:val="clear" w:color="auto" w:fill="B6DDE8" w:themeFill="accent5" w:themeFillTint="66"/>
          </w:tcPr>
          <w:p w14:paraId="25C44EC1" w14:textId="0C366FCF" w:rsidR="005716B6" w:rsidRPr="009859E6" w:rsidRDefault="005716B6">
            <w:pPr>
              <w:rPr>
                <w:rFonts w:ascii="Open Sans Light" w:hAnsi="Open Sans Light"/>
                <w:b w:val="0"/>
                <w:sz w:val="16"/>
                <w:szCs w:val="16"/>
                <w:lang w:val="en-GB"/>
              </w:rPr>
            </w:pPr>
            <w:r w:rsidRPr="009859E6">
              <w:rPr>
                <w:rFonts w:ascii="Open Sans Light" w:hAnsi="Open Sans Light"/>
                <w:b w:val="0"/>
                <w:sz w:val="16"/>
                <w:szCs w:val="16"/>
                <w:lang w:val="en-GB"/>
              </w:rPr>
              <w:t>Sources of Methodology</w:t>
            </w:r>
          </w:p>
        </w:tc>
        <w:tc>
          <w:tcPr>
            <w:tcW w:w="8598" w:type="dxa"/>
            <w:gridSpan w:val="2"/>
            <w:tcBorders>
              <w:top w:val="single" w:sz="4" w:space="0" w:color="auto"/>
              <w:left w:val="single" w:sz="4" w:space="0" w:color="auto"/>
              <w:right w:val="single" w:sz="4" w:space="0" w:color="auto"/>
            </w:tcBorders>
            <w:shd w:val="clear" w:color="auto" w:fill="FFFFFF" w:themeFill="background1"/>
            <w:vAlign w:val="center"/>
          </w:tcPr>
          <w:p w14:paraId="770E0A31" w14:textId="7D869D36" w:rsidR="005716B6" w:rsidRPr="009859E6" w:rsidRDefault="005716B6" w:rsidP="005716B6">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Rights and Resources Initiative (RRI) Land Tenure Database</w:t>
            </w:r>
          </w:p>
        </w:tc>
      </w:tr>
      <w:tr w:rsidR="005716B6" w:rsidRPr="009859E6" w14:paraId="3FB792FE" w14:textId="77777777" w:rsidTr="00412488">
        <w:tc>
          <w:tcPr>
            <w:cnfStyle w:val="001000000000" w:firstRow="0" w:lastRow="0" w:firstColumn="1" w:lastColumn="0" w:oddVBand="0" w:evenVBand="0" w:oddHBand="0" w:evenHBand="0" w:firstRowFirstColumn="0" w:firstRowLastColumn="0" w:lastRowFirstColumn="0" w:lastRowLastColumn="0"/>
            <w:tcW w:w="1860" w:type="dxa"/>
            <w:tcBorders>
              <w:top w:val="single" w:sz="4" w:space="0" w:color="auto"/>
              <w:left w:val="single" w:sz="4" w:space="0" w:color="auto"/>
              <w:right w:val="single" w:sz="4" w:space="0" w:color="auto"/>
            </w:tcBorders>
            <w:shd w:val="clear" w:color="auto" w:fill="B6DDE8" w:themeFill="accent5" w:themeFillTint="66"/>
          </w:tcPr>
          <w:p w14:paraId="11D23F8F" w14:textId="008EF876" w:rsidR="005716B6" w:rsidRPr="009859E6" w:rsidRDefault="005716B6">
            <w:pPr>
              <w:rPr>
                <w:rFonts w:ascii="Open Sans Light" w:hAnsi="Open Sans Light"/>
                <w:b w:val="0"/>
                <w:sz w:val="16"/>
                <w:szCs w:val="16"/>
                <w:lang w:val="en-GB"/>
              </w:rPr>
            </w:pPr>
            <w:r w:rsidRPr="009859E6">
              <w:rPr>
                <w:rFonts w:ascii="Open Sans Light" w:hAnsi="Open Sans Light"/>
                <w:b w:val="0"/>
                <w:sz w:val="16"/>
                <w:szCs w:val="16"/>
                <w:lang w:val="en-GB"/>
              </w:rPr>
              <w:t>Data Needed</w:t>
            </w:r>
          </w:p>
        </w:tc>
        <w:tc>
          <w:tcPr>
            <w:tcW w:w="8598" w:type="dxa"/>
            <w:gridSpan w:val="2"/>
            <w:tcBorders>
              <w:top w:val="single" w:sz="4" w:space="0" w:color="auto"/>
              <w:left w:val="single" w:sz="4" w:space="0" w:color="auto"/>
              <w:right w:val="single" w:sz="4" w:space="0" w:color="auto"/>
            </w:tcBorders>
            <w:shd w:val="clear" w:color="auto" w:fill="FFFFFF" w:themeFill="background1"/>
          </w:tcPr>
          <w:p w14:paraId="0305127E" w14:textId="77777777" w:rsidR="005716B6" w:rsidRPr="005716B6" w:rsidRDefault="005716B6" w:rsidP="005716B6">
            <w:p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rPr>
            </w:pPr>
            <w:r w:rsidRPr="005716B6">
              <w:rPr>
                <w:rFonts w:ascii="Open Sans Light" w:hAnsi="Open Sans Light"/>
                <w:sz w:val="16"/>
                <w:szCs w:val="16"/>
              </w:rPr>
              <w:t>For this indicator, access to three data points are necessary, all of which are captured by RRI’s Land Tenure Database:</w:t>
            </w:r>
          </w:p>
          <w:p w14:paraId="74A31C40" w14:textId="1A837D38" w:rsidR="005716B6" w:rsidRPr="005716B6" w:rsidRDefault="005716B6" w:rsidP="005716B6">
            <w:pPr>
              <w:numPr>
                <w:ilvl w:val="0"/>
                <w:numId w:val="15"/>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rPr>
            </w:pPr>
            <w:r w:rsidRPr="005716B6">
              <w:rPr>
                <w:rFonts w:ascii="Open Sans Light" w:hAnsi="Open Sans Light"/>
                <w:sz w:val="16"/>
                <w:szCs w:val="16"/>
              </w:rPr>
              <w:t>Existence of community-based tenure regimes classified as “designated for Indigenous Peoples and local communities” and/or “owned by Indigenous peoples and local communities” according to the statutory typology employed by the Rights and Resources Initiative;</w:t>
            </w:r>
          </w:p>
          <w:p w14:paraId="18076005" w14:textId="77777777" w:rsidR="003631AB" w:rsidRDefault="005716B6" w:rsidP="005716B6">
            <w:pPr>
              <w:numPr>
                <w:ilvl w:val="0"/>
                <w:numId w:val="15"/>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rPr>
            </w:pPr>
            <w:r w:rsidRPr="005716B6">
              <w:rPr>
                <w:rFonts w:ascii="Open Sans Light" w:hAnsi="Open Sans Light"/>
                <w:sz w:val="16"/>
                <w:szCs w:val="16"/>
              </w:rPr>
              <w:t>Total land area; and</w:t>
            </w:r>
          </w:p>
          <w:p w14:paraId="49DD0938" w14:textId="6DFB6160" w:rsidR="005716B6" w:rsidRPr="003631AB" w:rsidRDefault="005716B6" w:rsidP="005716B6">
            <w:pPr>
              <w:numPr>
                <w:ilvl w:val="0"/>
                <w:numId w:val="15"/>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rPr>
            </w:pPr>
            <w:r w:rsidRPr="003631AB">
              <w:rPr>
                <w:rFonts w:ascii="Open Sans Light" w:hAnsi="Open Sans Light"/>
                <w:sz w:val="16"/>
                <w:szCs w:val="16"/>
              </w:rPr>
              <w:t>Total land area legally recognized as owned by or designated for Indigenous Peoples and local communities under national law</w:t>
            </w:r>
          </w:p>
        </w:tc>
      </w:tr>
      <w:tr w:rsidR="005716B6" w:rsidRPr="009859E6" w14:paraId="4261F7A3" w14:textId="77777777" w:rsidTr="004124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Borders>
              <w:left w:val="single" w:sz="4" w:space="0" w:color="auto"/>
              <w:right w:val="single" w:sz="4" w:space="0" w:color="auto"/>
            </w:tcBorders>
            <w:shd w:val="clear" w:color="auto" w:fill="B6DDE8" w:themeFill="accent5" w:themeFillTint="66"/>
          </w:tcPr>
          <w:p w14:paraId="471E8E30" w14:textId="43660D25" w:rsidR="005716B6" w:rsidRPr="009859E6" w:rsidRDefault="005716B6">
            <w:pPr>
              <w:rPr>
                <w:rFonts w:ascii="Open Sans Light" w:hAnsi="Open Sans Light"/>
                <w:b w:val="0"/>
                <w:sz w:val="16"/>
                <w:szCs w:val="16"/>
                <w:lang w:val="en-GB"/>
              </w:rPr>
            </w:pPr>
            <w:r>
              <w:rPr>
                <w:rFonts w:ascii="Open Sans Light" w:hAnsi="Open Sans Light"/>
                <w:b w:val="0"/>
                <w:sz w:val="16"/>
                <w:szCs w:val="16"/>
                <w:lang w:val="en-GB"/>
              </w:rPr>
              <w:t>Definitions</w:t>
            </w:r>
          </w:p>
        </w:tc>
        <w:tc>
          <w:tcPr>
            <w:tcW w:w="8598" w:type="dxa"/>
            <w:gridSpan w:val="2"/>
            <w:tcBorders>
              <w:left w:val="single" w:sz="4" w:space="0" w:color="auto"/>
              <w:right w:val="single" w:sz="4" w:space="0" w:color="auto"/>
            </w:tcBorders>
          </w:tcPr>
          <w:p w14:paraId="2E31FB05" w14:textId="0AFB5E3D" w:rsidR="005716B6" w:rsidRPr="005716B6" w:rsidRDefault="005716B6" w:rsidP="005716B6">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Pr>
                <w:rFonts w:ascii="Open Sans Regular" w:hAnsi="Open Sans Regular"/>
                <w:sz w:val="16"/>
                <w:szCs w:val="16"/>
              </w:rPr>
              <w:t>Indigenous Peoples and l</w:t>
            </w:r>
            <w:r w:rsidRPr="005716B6">
              <w:rPr>
                <w:rFonts w:ascii="Open Sans Regular" w:hAnsi="Open Sans Regular"/>
                <w:sz w:val="16"/>
                <w:szCs w:val="16"/>
              </w:rPr>
              <w:t>ocal communities</w:t>
            </w:r>
            <w:r w:rsidRPr="005716B6">
              <w:rPr>
                <w:rFonts w:ascii="Open Sans Light" w:hAnsi="Open Sans Light"/>
                <w:b/>
                <w:sz w:val="16"/>
                <w:szCs w:val="16"/>
              </w:rPr>
              <w:t>:</w:t>
            </w:r>
            <w:r w:rsidRPr="005716B6">
              <w:rPr>
                <w:rFonts w:ascii="Open Sans Light" w:hAnsi="Open Sans Light"/>
                <w:sz w:val="16"/>
                <w:szCs w:val="16"/>
              </w:rPr>
              <w:t xml:space="preserve"> “Indigenous Peoples” refers to all groups that self-identify as indigenous and rely on community-based tenure arrangements to use and manage land and natural resources. “Local communities” refers to communities that practice community-based tenure arrangements, and whose members may or may not self-identify as “indigenous.” For the purposes of analysis conducted for Dashboard, it should be noted that—due to the inclusion of data on both Indigenous Peoples and local communities who rely on community-based tenure arrangements—data collected is broader in scope than that collected for Indicator 5C.2. </w:t>
            </w:r>
          </w:p>
          <w:p w14:paraId="4E77A870" w14:textId="77777777" w:rsidR="005716B6" w:rsidRPr="005716B6" w:rsidRDefault="005716B6" w:rsidP="005716B6">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p>
          <w:p w14:paraId="7A419E47" w14:textId="19DEE855" w:rsidR="005716B6" w:rsidRPr="005716B6" w:rsidRDefault="005716B6" w:rsidP="005716B6">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5716B6">
              <w:rPr>
                <w:rFonts w:ascii="Open Sans Regular" w:hAnsi="Open Sans Regular"/>
                <w:sz w:val="16"/>
                <w:szCs w:val="16"/>
              </w:rPr>
              <w:t>Community-Based Tenure Regime</w:t>
            </w:r>
            <w:r w:rsidR="003631AB">
              <w:rPr>
                <w:rFonts w:ascii="Open Sans Regular" w:hAnsi="Open Sans Regular"/>
                <w:sz w:val="16"/>
                <w:szCs w:val="16"/>
              </w:rPr>
              <w:t xml:space="preserve"> (CBTR)</w:t>
            </w:r>
            <w:r w:rsidRPr="005716B6">
              <w:rPr>
                <w:rFonts w:ascii="Open Sans Light" w:hAnsi="Open Sans Light"/>
                <w:b/>
                <w:sz w:val="16"/>
                <w:szCs w:val="16"/>
              </w:rPr>
              <w:t>:</w:t>
            </w:r>
            <w:r w:rsidRPr="005716B6">
              <w:rPr>
                <w:rFonts w:ascii="Open Sans Light" w:hAnsi="Open Sans Light"/>
                <w:sz w:val="16"/>
                <w:szCs w:val="16"/>
              </w:rPr>
              <w:t xml:space="preserve"> A community-based tenure regime can be understood as a distinguishable set of national, state-issued laws and regulations governing “all situations under which the right to own or manage terrestrial natural resources is held at the community level.” Community-based tenure regimes may specifically pertain to Indigenous Peoples, local communities, or be applicable to both types of groups.</w:t>
            </w:r>
          </w:p>
        </w:tc>
      </w:tr>
      <w:tr w:rsidR="005716B6" w:rsidRPr="009859E6" w14:paraId="7AD55D85" w14:textId="77777777" w:rsidTr="00412488">
        <w:tc>
          <w:tcPr>
            <w:cnfStyle w:val="001000000000" w:firstRow="0" w:lastRow="0" w:firstColumn="1" w:lastColumn="0" w:oddVBand="0" w:evenVBand="0" w:oddHBand="0" w:evenHBand="0" w:firstRowFirstColumn="0" w:firstRowLastColumn="0" w:lastRowFirstColumn="0" w:lastRowLastColumn="0"/>
            <w:tcW w:w="1860" w:type="dxa"/>
            <w:tcBorders>
              <w:left w:val="single" w:sz="4" w:space="0" w:color="auto"/>
              <w:right w:val="single" w:sz="4" w:space="0" w:color="auto"/>
            </w:tcBorders>
            <w:shd w:val="clear" w:color="auto" w:fill="B6DDE8" w:themeFill="accent5" w:themeFillTint="66"/>
          </w:tcPr>
          <w:p w14:paraId="4A0C7470" w14:textId="77777777" w:rsidR="005716B6" w:rsidRPr="009859E6" w:rsidRDefault="005716B6">
            <w:pPr>
              <w:rPr>
                <w:rFonts w:ascii="Open Sans Light" w:hAnsi="Open Sans Light"/>
                <w:b w:val="0"/>
                <w:sz w:val="16"/>
                <w:szCs w:val="16"/>
                <w:lang w:val="en-GB"/>
              </w:rPr>
            </w:pPr>
            <w:r w:rsidRPr="009859E6">
              <w:rPr>
                <w:rFonts w:ascii="Open Sans Light" w:hAnsi="Open Sans Light"/>
                <w:b w:val="0"/>
                <w:sz w:val="16"/>
                <w:szCs w:val="16"/>
                <w:lang w:val="en-GB"/>
              </w:rPr>
              <w:t>How to Implement</w:t>
            </w:r>
          </w:p>
          <w:p w14:paraId="64E1AF88" w14:textId="008C26FA" w:rsidR="005716B6" w:rsidRPr="009859E6" w:rsidRDefault="005716B6">
            <w:pPr>
              <w:rPr>
                <w:rFonts w:ascii="Open Sans Light" w:hAnsi="Open Sans Light"/>
                <w:b w:val="0"/>
                <w:sz w:val="16"/>
                <w:szCs w:val="16"/>
                <w:lang w:val="en-GB"/>
              </w:rPr>
            </w:pPr>
          </w:p>
        </w:tc>
        <w:tc>
          <w:tcPr>
            <w:tcW w:w="8598" w:type="dxa"/>
            <w:gridSpan w:val="2"/>
            <w:tcBorders>
              <w:left w:val="single" w:sz="4" w:space="0" w:color="auto"/>
              <w:right w:val="single" w:sz="4" w:space="0" w:color="auto"/>
            </w:tcBorders>
          </w:tcPr>
          <w:p w14:paraId="0F230119" w14:textId="77777777" w:rsidR="003631AB" w:rsidRDefault="003631AB" w:rsidP="003631AB">
            <w:pPr>
              <w:cnfStyle w:val="000000000000" w:firstRow="0" w:lastRow="0" w:firstColumn="0" w:lastColumn="0" w:oddVBand="0" w:evenVBand="0" w:oddHBand="0" w:evenHBand="0" w:firstRowFirstColumn="0" w:firstRowLastColumn="0" w:lastRowFirstColumn="0" w:lastRowLastColumn="0"/>
              <w:rPr>
                <w:rFonts w:ascii="Open Sans Light" w:hAnsi="Open Sans Light"/>
                <w:sz w:val="16"/>
              </w:rPr>
            </w:pPr>
            <w:r>
              <w:rPr>
                <w:rFonts w:ascii="Open Sans Light" w:hAnsi="Open Sans Light"/>
                <w:sz w:val="16"/>
              </w:rPr>
              <w:t xml:space="preserve">This indicator will be implemented in two steps, the first considering the existence of community-based tenure regimes in the country (corresponding to data point 1), the second considering the portion of total land that has is designated for or owned by Indigenous Peoples or local communities (data points 2 and 3). </w:t>
            </w:r>
          </w:p>
          <w:p w14:paraId="4AFFC895" w14:textId="13338E42" w:rsidR="003631AB" w:rsidRPr="003631AB" w:rsidRDefault="003631AB" w:rsidP="003631AB">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rPr>
            </w:pPr>
            <w:r>
              <w:rPr>
                <w:rFonts w:ascii="Open Sans Light" w:hAnsi="Open Sans Light"/>
                <w:sz w:val="16"/>
              </w:rPr>
              <w:t xml:space="preserve">Determine the CBTR of the country in question, using the scoring system described below, available in RRI reports. </w:t>
            </w:r>
          </w:p>
          <w:p w14:paraId="3BE52510" w14:textId="77777777" w:rsidR="005716B6" w:rsidRPr="003631AB" w:rsidRDefault="003631AB" w:rsidP="003631AB">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Pr>
                <w:rFonts w:ascii="Open Sans Light" w:hAnsi="Open Sans Light"/>
                <w:sz w:val="16"/>
              </w:rPr>
              <w:t xml:space="preserve">Confirm the total land area legally recognized as owned by or designated for Indigenous Peoples and local communities under national law, available in RRI data. </w:t>
            </w:r>
          </w:p>
          <w:p w14:paraId="4C9492ED" w14:textId="60CB9B4C" w:rsidR="003631AB" w:rsidRPr="009859E6" w:rsidRDefault="003631AB" w:rsidP="003631AB">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Pr>
                <w:rFonts w:ascii="Open Sans Light" w:hAnsi="Open Sans Light"/>
                <w:sz w:val="16"/>
              </w:rPr>
              <w:t xml:space="preserve">Confirm the total land area of the country in question, available in RRI data. </w:t>
            </w:r>
          </w:p>
        </w:tc>
      </w:tr>
      <w:tr w:rsidR="005716B6" w:rsidRPr="009859E6" w14:paraId="1051333D" w14:textId="77777777" w:rsidTr="003631AB">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1860" w:type="dxa"/>
            <w:vMerge w:val="restart"/>
            <w:tcBorders>
              <w:left w:val="single" w:sz="4" w:space="0" w:color="auto"/>
              <w:right w:val="single" w:sz="4" w:space="0" w:color="auto"/>
            </w:tcBorders>
            <w:shd w:val="clear" w:color="auto" w:fill="B6DDE8" w:themeFill="accent5" w:themeFillTint="66"/>
          </w:tcPr>
          <w:p w14:paraId="6671A5D5" w14:textId="0E009A4C" w:rsidR="005716B6" w:rsidRPr="009859E6" w:rsidRDefault="005716B6">
            <w:pPr>
              <w:rPr>
                <w:rFonts w:ascii="Open Sans Light" w:hAnsi="Open Sans Light"/>
                <w:b w:val="0"/>
                <w:sz w:val="16"/>
                <w:szCs w:val="16"/>
                <w:lang w:val="en-GB"/>
              </w:rPr>
            </w:pPr>
            <w:r w:rsidRPr="009859E6">
              <w:rPr>
                <w:rFonts w:ascii="Open Sans Light" w:hAnsi="Open Sans Light"/>
                <w:b w:val="0"/>
                <w:sz w:val="16"/>
                <w:szCs w:val="16"/>
                <w:lang w:val="en-GB"/>
              </w:rPr>
              <w:t>How to Score</w:t>
            </w:r>
          </w:p>
        </w:tc>
        <w:tc>
          <w:tcPr>
            <w:tcW w:w="1765" w:type="dxa"/>
            <w:tcBorders>
              <w:left w:val="single" w:sz="4" w:space="0" w:color="auto"/>
              <w:right w:val="single" w:sz="4" w:space="0" w:color="auto"/>
            </w:tcBorders>
          </w:tcPr>
          <w:p w14:paraId="5A7EF5B4" w14:textId="77777777" w:rsidR="005716B6" w:rsidRPr="009859E6" w:rsidRDefault="005716B6" w:rsidP="0090748F">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 xml:space="preserve">Block 1: </w:t>
            </w:r>
          </w:p>
          <w:p w14:paraId="3E0F7557" w14:textId="43468EF5" w:rsidR="005716B6" w:rsidRPr="009859E6" w:rsidRDefault="003631AB" w:rsidP="0090748F">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Community-Based Tenure Regime</w:t>
            </w:r>
            <w:r w:rsidR="00A5617B">
              <w:rPr>
                <w:rFonts w:ascii="Open Sans Light" w:hAnsi="Open Sans Light"/>
                <w:sz w:val="16"/>
                <w:szCs w:val="16"/>
                <w:lang w:val="en-GB"/>
              </w:rPr>
              <w:t>(s)</w:t>
            </w:r>
          </w:p>
        </w:tc>
        <w:tc>
          <w:tcPr>
            <w:tcW w:w="6833" w:type="dxa"/>
            <w:tcBorders>
              <w:left w:val="single" w:sz="4" w:space="0" w:color="auto"/>
              <w:right w:val="single" w:sz="4" w:space="0" w:color="auto"/>
            </w:tcBorders>
          </w:tcPr>
          <w:p w14:paraId="46486653" w14:textId="77777777" w:rsidR="005716B6" w:rsidRDefault="000A29D8" w:rsidP="000A29D8">
            <w:pPr>
              <w:pStyle w:val="ListParagraph"/>
              <w:numPr>
                <w:ilvl w:val="0"/>
                <w:numId w:val="17"/>
              </w:numPr>
              <w:ind w:left="245" w:hanging="18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 xml:space="preserve">Determine the correct Scenario for the country in question, as described below: </w:t>
            </w:r>
          </w:p>
          <w:p w14:paraId="2304E3E5" w14:textId="77777777" w:rsidR="000A29D8" w:rsidRPr="000A29D8" w:rsidRDefault="000A29D8" w:rsidP="000A29D8">
            <w:pPr>
              <w:pStyle w:val="ListParagraph"/>
              <w:numPr>
                <w:ilvl w:val="0"/>
                <w:numId w:val="17"/>
              </w:numPr>
              <w:ind w:left="515" w:hanging="18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0A29D8">
              <w:rPr>
                <w:rFonts w:ascii="Open Sans Regular" w:hAnsi="Open Sans Regular"/>
                <w:sz w:val="16"/>
                <w:szCs w:val="16"/>
              </w:rPr>
              <w:t>Scenario 1</w:t>
            </w:r>
            <w:r w:rsidRPr="000A29D8">
              <w:rPr>
                <w:rFonts w:ascii="Open Sans Light" w:hAnsi="Open Sans Light"/>
                <w:b/>
                <w:sz w:val="16"/>
                <w:szCs w:val="16"/>
              </w:rPr>
              <w:t>:</w:t>
            </w:r>
            <w:r w:rsidRPr="000A29D8">
              <w:rPr>
                <w:rFonts w:ascii="Open Sans Light" w:hAnsi="Open Sans Light"/>
                <w:sz w:val="16"/>
                <w:szCs w:val="16"/>
              </w:rPr>
              <w:t xml:space="preserve"> </w:t>
            </w:r>
            <w:r w:rsidRPr="000A29D8">
              <w:rPr>
                <w:rFonts w:ascii="Open Sans Light" w:hAnsi="Open Sans Light"/>
                <w:sz w:val="16"/>
                <w:szCs w:val="16"/>
                <w:u w:val="single"/>
              </w:rPr>
              <w:t>No</w:t>
            </w:r>
            <w:r w:rsidRPr="000A29D8">
              <w:rPr>
                <w:rFonts w:ascii="Open Sans Light" w:hAnsi="Open Sans Light"/>
                <w:sz w:val="16"/>
                <w:szCs w:val="16"/>
              </w:rPr>
              <w:t xml:space="preserve"> community-based tenure regimes legally recognize sufficient rights to be classified as either “designated for” or “owned by” Indigenous Peoples and local communities. </w:t>
            </w:r>
          </w:p>
          <w:p w14:paraId="0DA79466" w14:textId="77777777" w:rsidR="000A29D8" w:rsidRPr="000A29D8" w:rsidRDefault="000A29D8" w:rsidP="000A29D8">
            <w:pPr>
              <w:pStyle w:val="ListParagraph"/>
              <w:numPr>
                <w:ilvl w:val="0"/>
                <w:numId w:val="17"/>
              </w:numPr>
              <w:ind w:left="515" w:hanging="18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0A29D8">
              <w:rPr>
                <w:rFonts w:ascii="Open Sans Regular" w:hAnsi="Open Sans Regular"/>
                <w:sz w:val="16"/>
                <w:szCs w:val="16"/>
              </w:rPr>
              <w:t>Scenario 2</w:t>
            </w:r>
            <w:r w:rsidRPr="000A29D8">
              <w:rPr>
                <w:rFonts w:ascii="Open Sans Light" w:hAnsi="Open Sans Light"/>
                <w:b/>
                <w:sz w:val="16"/>
                <w:szCs w:val="16"/>
              </w:rPr>
              <w:t>:</w:t>
            </w:r>
            <w:r w:rsidRPr="000A29D8">
              <w:rPr>
                <w:rFonts w:ascii="Open Sans Light" w:hAnsi="Open Sans Light"/>
                <w:sz w:val="16"/>
                <w:szCs w:val="16"/>
              </w:rPr>
              <w:t xml:space="preserve"> </w:t>
            </w:r>
            <w:r w:rsidRPr="000A29D8">
              <w:rPr>
                <w:rFonts w:ascii="Open Sans Light" w:hAnsi="Open Sans Light"/>
                <w:sz w:val="16"/>
                <w:szCs w:val="16"/>
                <w:u w:val="single"/>
              </w:rPr>
              <w:t xml:space="preserve">Only </w:t>
            </w:r>
            <w:r w:rsidRPr="000A29D8">
              <w:rPr>
                <w:rFonts w:ascii="Open Sans Light" w:hAnsi="Open Sans Light"/>
                <w:sz w:val="16"/>
                <w:szCs w:val="16"/>
              </w:rPr>
              <w:t>community-based tenure regime(s) classified as “designated for Indigenous Peoples and local communities” legally exist.</w:t>
            </w:r>
          </w:p>
          <w:p w14:paraId="70F4B61D" w14:textId="77777777" w:rsidR="000A29D8" w:rsidRPr="000A29D8" w:rsidRDefault="000A29D8" w:rsidP="000A29D8">
            <w:pPr>
              <w:pStyle w:val="ListParagraph"/>
              <w:numPr>
                <w:ilvl w:val="0"/>
                <w:numId w:val="17"/>
              </w:numPr>
              <w:ind w:left="515" w:hanging="18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0A29D8">
              <w:rPr>
                <w:rFonts w:ascii="Open Sans Regular" w:hAnsi="Open Sans Regular"/>
                <w:sz w:val="16"/>
                <w:szCs w:val="16"/>
              </w:rPr>
              <w:t>Scenario 3</w:t>
            </w:r>
            <w:r w:rsidRPr="000A29D8">
              <w:rPr>
                <w:rFonts w:ascii="Open Sans Light" w:hAnsi="Open Sans Light"/>
                <w:b/>
                <w:sz w:val="16"/>
                <w:szCs w:val="16"/>
              </w:rPr>
              <w:t>:</w:t>
            </w:r>
            <w:r w:rsidRPr="000A29D8">
              <w:rPr>
                <w:rFonts w:ascii="Open Sans Light" w:hAnsi="Open Sans Light"/>
                <w:sz w:val="16"/>
                <w:szCs w:val="16"/>
              </w:rPr>
              <w:t xml:space="preserve"> </w:t>
            </w:r>
            <w:r w:rsidRPr="000A29D8">
              <w:rPr>
                <w:rFonts w:ascii="Open Sans Light" w:hAnsi="Open Sans Light"/>
                <w:sz w:val="16"/>
                <w:szCs w:val="16"/>
                <w:u w:val="single"/>
              </w:rPr>
              <w:t>Only</w:t>
            </w:r>
            <w:r w:rsidRPr="000A29D8">
              <w:rPr>
                <w:rFonts w:ascii="Open Sans Light" w:hAnsi="Open Sans Light"/>
                <w:sz w:val="16"/>
                <w:szCs w:val="16"/>
              </w:rPr>
              <w:t xml:space="preserve"> community-based tenure regime(s) classified as “owned by Indigenous Peoples and local communities” legally exist</w:t>
            </w:r>
          </w:p>
          <w:p w14:paraId="3078E68A" w14:textId="77777777" w:rsidR="000A29D8" w:rsidRDefault="000A29D8" w:rsidP="000A29D8">
            <w:pPr>
              <w:pStyle w:val="ListParagraph"/>
              <w:numPr>
                <w:ilvl w:val="0"/>
                <w:numId w:val="17"/>
              </w:numPr>
              <w:ind w:left="515" w:hanging="18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0A29D8">
              <w:rPr>
                <w:rFonts w:ascii="Open Sans Regular" w:hAnsi="Open Sans Regular"/>
                <w:sz w:val="16"/>
                <w:szCs w:val="16"/>
              </w:rPr>
              <w:t>Scenario 4</w:t>
            </w:r>
            <w:r w:rsidRPr="000A29D8">
              <w:rPr>
                <w:rFonts w:ascii="Open Sans Light" w:hAnsi="Open Sans Light"/>
                <w:b/>
                <w:sz w:val="16"/>
                <w:szCs w:val="16"/>
              </w:rPr>
              <w:t>:</w:t>
            </w:r>
            <w:r w:rsidRPr="000A29D8">
              <w:rPr>
                <w:rFonts w:ascii="Open Sans Light" w:hAnsi="Open Sans Light"/>
                <w:sz w:val="16"/>
                <w:szCs w:val="16"/>
              </w:rPr>
              <w:t xml:space="preserve"> Community-based tenure regimes classified as </w:t>
            </w:r>
            <w:r w:rsidRPr="000A29D8">
              <w:rPr>
                <w:rFonts w:ascii="Open Sans Light" w:hAnsi="Open Sans Light"/>
                <w:sz w:val="16"/>
                <w:szCs w:val="16"/>
                <w:u w:val="single"/>
              </w:rPr>
              <w:t>both</w:t>
            </w:r>
            <w:r w:rsidRPr="000A29D8">
              <w:rPr>
                <w:rFonts w:ascii="Open Sans Light" w:hAnsi="Open Sans Light"/>
                <w:sz w:val="16"/>
                <w:szCs w:val="16"/>
              </w:rPr>
              <w:t xml:space="preserve"> “designated for” and “owned by” Indigenous Peoples and local communities exist.</w:t>
            </w:r>
          </w:p>
          <w:p w14:paraId="29310950" w14:textId="0E185EE5" w:rsidR="000A29D8" w:rsidRDefault="00A5617B" w:rsidP="000A29D8">
            <w:pPr>
              <w:pStyle w:val="ListParagraph"/>
              <w:numPr>
                <w:ilvl w:val="0"/>
                <w:numId w:val="17"/>
              </w:numPr>
              <w:ind w:left="245" w:hanging="18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Pr>
                <w:rFonts w:ascii="Open Sans Light" w:hAnsi="Open Sans Light"/>
                <w:sz w:val="16"/>
                <w:szCs w:val="16"/>
              </w:rPr>
              <w:t>Once the proper Scenario has been determined, enter the Scenario in the corresponding space.</w:t>
            </w:r>
          </w:p>
          <w:p w14:paraId="57FD3C33" w14:textId="4D0D168D" w:rsidR="00A5617B" w:rsidRDefault="00A5617B" w:rsidP="000A29D8">
            <w:pPr>
              <w:pStyle w:val="ListParagraph"/>
              <w:numPr>
                <w:ilvl w:val="0"/>
                <w:numId w:val="17"/>
              </w:numPr>
              <w:ind w:left="245" w:hanging="18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Pr>
                <w:rFonts w:ascii="Open Sans Light" w:hAnsi="Open Sans Light"/>
                <w:sz w:val="16"/>
                <w:szCs w:val="16"/>
              </w:rPr>
              <w:t xml:space="preserve">Assign a score accordingly: </w:t>
            </w:r>
          </w:p>
          <w:p w14:paraId="03315C3B" w14:textId="67BFC961" w:rsidR="000A29D8" w:rsidRDefault="00A5617B" w:rsidP="000A29D8">
            <w:pPr>
              <w:pStyle w:val="ListParagraph"/>
              <w:numPr>
                <w:ilvl w:val="0"/>
                <w:numId w:val="17"/>
              </w:numPr>
              <w:ind w:left="515" w:hanging="18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Pr>
                <w:rFonts w:ascii="Open Sans Regular" w:hAnsi="Open Sans Regular"/>
                <w:sz w:val="16"/>
                <w:szCs w:val="16"/>
              </w:rPr>
              <w:t>Where</w:t>
            </w:r>
            <w:r w:rsidR="000A29D8">
              <w:rPr>
                <w:rFonts w:ascii="Open Sans Regular" w:hAnsi="Open Sans Regular"/>
                <w:sz w:val="16"/>
                <w:szCs w:val="16"/>
              </w:rPr>
              <w:t xml:space="preserve"> Scenarios 1, 2 or </w:t>
            </w:r>
            <w:r>
              <w:rPr>
                <w:rFonts w:ascii="Open Sans Regular" w:hAnsi="Open Sans Regular"/>
                <w:sz w:val="16"/>
                <w:szCs w:val="16"/>
              </w:rPr>
              <w:t xml:space="preserve">4 are true: </w:t>
            </w:r>
          </w:p>
          <w:p w14:paraId="15B3CDB9" w14:textId="4910DCAA" w:rsidR="000A29D8" w:rsidRPr="000A29D8" w:rsidRDefault="000A29D8" w:rsidP="000A29D8">
            <w:pPr>
              <w:pStyle w:val="ListParagraph"/>
              <w:numPr>
                <w:ilvl w:val="0"/>
                <w:numId w:val="17"/>
              </w:numPr>
              <w:ind w:left="875" w:hanging="18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0A29D8">
              <w:rPr>
                <w:rFonts w:ascii="Open Sans Regular" w:hAnsi="Open Sans Regular"/>
                <w:sz w:val="16"/>
                <w:szCs w:val="16"/>
                <w:u w:val="single"/>
              </w:rPr>
              <w:t>25 points</w:t>
            </w:r>
            <w:r>
              <w:rPr>
                <w:rFonts w:ascii="Open Sans Light" w:hAnsi="Open Sans Light"/>
                <w:sz w:val="16"/>
                <w:szCs w:val="16"/>
              </w:rPr>
              <w:t xml:space="preserve"> –</w:t>
            </w:r>
            <w:r w:rsidRPr="000A29D8">
              <w:rPr>
                <w:rFonts w:ascii="Open Sans Light" w:hAnsi="Open Sans Light"/>
                <w:sz w:val="16"/>
                <w:szCs w:val="16"/>
              </w:rPr>
              <w:t xml:space="preserve"> </w:t>
            </w:r>
            <w:r>
              <w:rPr>
                <w:rFonts w:ascii="Open Sans Light" w:hAnsi="Open Sans Light"/>
                <w:sz w:val="16"/>
                <w:szCs w:val="16"/>
              </w:rPr>
              <w:t xml:space="preserve">awarded if </w:t>
            </w:r>
            <w:r w:rsidRPr="000A29D8">
              <w:rPr>
                <w:rFonts w:ascii="Open Sans Light" w:hAnsi="Open Sans Light"/>
                <w:sz w:val="16"/>
                <w:szCs w:val="16"/>
              </w:rPr>
              <w:t>Community-based tenure regime(s) classified as “designated for Indigenous Peoples and local communities” legally exist</w:t>
            </w:r>
          </w:p>
          <w:p w14:paraId="2DE80202" w14:textId="1CA8E6A7" w:rsidR="000A29D8" w:rsidRPr="000A29D8" w:rsidRDefault="000A29D8" w:rsidP="000A29D8">
            <w:pPr>
              <w:pStyle w:val="ListParagraph"/>
              <w:numPr>
                <w:ilvl w:val="0"/>
                <w:numId w:val="17"/>
              </w:numPr>
              <w:ind w:left="875" w:hanging="18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0A29D8">
              <w:rPr>
                <w:rFonts w:ascii="Open Sans Regular" w:hAnsi="Open Sans Regular"/>
                <w:sz w:val="16"/>
                <w:szCs w:val="16"/>
                <w:u w:val="single"/>
              </w:rPr>
              <w:t>25 points</w:t>
            </w:r>
            <w:r w:rsidRPr="000A29D8">
              <w:rPr>
                <w:rFonts w:ascii="Open Sans Light" w:hAnsi="Open Sans Light"/>
                <w:sz w:val="16"/>
                <w:szCs w:val="16"/>
              </w:rPr>
              <w:t xml:space="preserve"> – </w:t>
            </w:r>
            <w:r>
              <w:rPr>
                <w:rFonts w:ascii="Open Sans Light" w:hAnsi="Open Sans Light"/>
                <w:sz w:val="16"/>
                <w:szCs w:val="16"/>
              </w:rPr>
              <w:t>awarded if C</w:t>
            </w:r>
            <w:r w:rsidRPr="000A29D8">
              <w:rPr>
                <w:rFonts w:ascii="Open Sans Light" w:hAnsi="Open Sans Light"/>
                <w:sz w:val="16"/>
                <w:szCs w:val="16"/>
              </w:rPr>
              <w:t>ommunity-based tenure regime(s) classified as “owned by Indigenous Peoples and local communities” legally exist</w:t>
            </w:r>
          </w:p>
          <w:p w14:paraId="0CAB0B08" w14:textId="77777777" w:rsidR="000A29D8" w:rsidRDefault="00A5617B" w:rsidP="00A5617B">
            <w:pPr>
              <w:pStyle w:val="ListParagraph"/>
              <w:numPr>
                <w:ilvl w:val="0"/>
                <w:numId w:val="17"/>
              </w:numPr>
              <w:ind w:left="515" w:hanging="180"/>
              <w:cnfStyle w:val="000000100000" w:firstRow="0" w:lastRow="0" w:firstColumn="0" w:lastColumn="0" w:oddVBand="0" w:evenVBand="0" w:oddHBand="1" w:evenHBand="0" w:firstRowFirstColumn="0" w:firstRowLastColumn="0" w:lastRowFirstColumn="0" w:lastRowLastColumn="0"/>
              <w:rPr>
                <w:rFonts w:ascii="Open Sans Regular" w:hAnsi="Open Sans Regular"/>
                <w:sz w:val="16"/>
                <w:szCs w:val="16"/>
              </w:rPr>
            </w:pPr>
            <w:r w:rsidRPr="00A5617B">
              <w:rPr>
                <w:rFonts w:ascii="Open Sans Regular" w:hAnsi="Open Sans Regular"/>
                <w:sz w:val="16"/>
                <w:szCs w:val="16"/>
              </w:rPr>
              <w:lastRenderedPageBreak/>
              <w:t xml:space="preserve">Where Scenario 3 is true: </w:t>
            </w:r>
          </w:p>
          <w:p w14:paraId="6E6C64F2" w14:textId="77777777" w:rsidR="00A5617B" w:rsidRDefault="00A5617B" w:rsidP="00A5617B">
            <w:pPr>
              <w:pStyle w:val="ListParagraph"/>
              <w:numPr>
                <w:ilvl w:val="0"/>
                <w:numId w:val="17"/>
              </w:numPr>
              <w:ind w:left="875" w:hanging="18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Pr>
                <w:rFonts w:ascii="Open Sans Regular" w:hAnsi="Open Sans Regular"/>
                <w:sz w:val="16"/>
                <w:szCs w:val="16"/>
                <w:u w:val="single"/>
              </w:rPr>
              <w:t>50</w:t>
            </w:r>
            <w:r w:rsidRPr="000A29D8">
              <w:rPr>
                <w:rFonts w:ascii="Open Sans Regular" w:hAnsi="Open Sans Regular"/>
                <w:sz w:val="16"/>
                <w:szCs w:val="16"/>
                <w:u w:val="single"/>
              </w:rPr>
              <w:t xml:space="preserve"> points</w:t>
            </w:r>
            <w:r>
              <w:rPr>
                <w:rFonts w:ascii="Open Sans Light" w:hAnsi="Open Sans Light"/>
                <w:sz w:val="16"/>
                <w:szCs w:val="16"/>
              </w:rPr>
              <w:t xml:space="preserve"> –</w:t>
            </w:r>
            <w:r w:rsidRPr="000A29D8">
              <w:rPr>
                <w:rFonts w:ascii="Open Sans Light" w:hAnsi="Open Sans Light"/>
                <w:sz w:val="16"/>
                <w:szCs w:val="16"/>
              </w:rPr>
              <w:t xml:space="preserve"> </w:t>
            </w:r>
            <w:r>
              <w:rPr>
                <w:rFonts w:ascii="Open Sans Light" w:hAnsi="Open Sans Light"/>
                <w:sz w:val="16"/>
                <w:szCs w:val="16"/>
              </w:rPr>
              <w:t xml:space="preserve">awarded if ONLY </w:t>
            </w:r>
            <w:r w:rsidRPr="00A5617B">
              <w:rPr>
                <w:rFonts w:ascii="Open Sans Light" w:hAnsi="Open Sans Light"/>
                <w:sz w:val="16"/>
                <w:szCs w:val="16"/>
              </w:rPr>
              <w:t>community-based tenure regime(s) classified as “</w:t>
            </w:r>
            <w:r w:rsidRPr="00A5617B">
              <w:rPr>
                <w:rFonts w:ascii="Open Sans Light" w:hAnsi="Open Sans Light"/>
                <w:sz w:val="16"/>
                <w:szCs w:val="16"/>
                <w:u w:val="single"/>
              </w:rPr>
              <w:t>owned by Indigenous Peoples and local communities</w:t>
            </w:r>
            <w:r w:rsidRPr="00A5617B">
              <w:rPr>
                <w:rFonts w:ascii="Open Sans Light" w:hAnsi="Open Sans Light"/>
                <w:sz w:val="16"/>
                <w:szCs w:val="16"/>
              </w:rPr>
              <w:t xml:space="preserve">” legally exist </w:t>
            </w:r>
          </w:p>
          <w:p w14:paraId="15EF16FA" w14:textId="69704085" w:rsidR="00A5617B" w:rsidRPr="00A5617B" w:rsidRDefault="00822EAB" w:rsidP="00822EAB">
            <w:pPr>
              <w:pStyle w:val="ListParagraph"/>
              <w:numPr>
                <w:ilvl w:val="0"/>
                <w:numId w:val="17"/>
              </w:numPr>
              <w:ind w:left="245" w:hanging="18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Pr>
                <w:rFonts w:ascii="Open Sans Light" w:hAnsi="Open Sans Light"/>
                <w:sz w:val="16"/>
                <w:szCs w:val="16"/>
                <w:lang w:val="en-GB"/>
              </w:rPr>
              <w:t>Enter appropriate score in Block 1 and calculate score (50 points possible).</w:t>
            </w:r>
          </w:p>
        </w:tc>
      </w:tr>
      <w:tr w:rsidR="003631AB" w:rsidRPr="009859E6" w14:paraId="45849DBF" w14:textId="77777777" w:rsidTr="003631AB">
        <w:trPr>
          <w:trHeight w:val="868"/>
        </w:trPr>
        <w:tc>
          <w:tcPr>
            <w:cnfStyle w:val="001000000000" w:firstRow="0" w:lastRow="0" w:firstColumn="1" w:lastColumn="0" w:oddVBand="0" w:evenVBand="0" w:oddHBand="0" w:evenHBand="0" w:firstRowFirstColumn="0" w:firstRowLastColumn="0" w:lastRowFirstColumn="0" w:lastRowLastColumn="0"/>
            <w:tcW w:w="1860" w:type="dxa"/>
            <w:vMerge/>
            <w:tcBorders>
              <w:left w:val="single" w:sz="4" w:space="0" w:color="auto"/>
              <w:right w:val="single" w:sz="4" w:space="0" w:color="auto"/>
            </w:tcBorders>
            <w:shd w:val="clear" w:color="auto" w:fill="B6DDE8" w:themeFill="accent5" w:themeFillTint="66"/>
          </w:tcPr>
          <w:p w14:paraId="30796A4A" w14:textId="28FB5588" w:rsidR="003631AB" w:rsidRPr="009859E6" w:rsidRDefault="003631AB">
            <w:pPr>
              <w:rPr>
                <w:rFonts w:ascii="Open Sans Light" w:hAnsi="Open Sans Light"/>
                <w:b w:val="0"/>
                <w:sz w:val="16"/>
                <w:szCs w:val="16"/>
                <w:lang w:val="en-GB"/>
              </w:rPr>
            </w:pPr>
          </w:p>
        </w:tc>
        <w:tc>
          <w:tcPr>
            <w:tcW w:w="1765" w:type="dxa"/>
            <w:tcBorders>
              <w:left w:val="single" w:sz="4" w:space="0" w:color="auto"/>
              <w:right w:val="single" w:sz="4" w:space="0" w:color="auto"/>
            </w:tcBorders>
          </w:tcPr>
          <w:p w14:paraId="298F7E84" w14:textId="77777777" w:rsidR="003631AB" w:rsidRPr="009859E6" w:rsidRDefault="003631AB" w:rsidP="009509D1">
            <w:p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Block 2:</w:t>
            </w:r>
          </w:p>
          <w:p w14:paraId="18EF7CD2" w14:textId="0C74FE80" w:rsidR="003631AB" w:rsidRPr="009859E6" w:rsidRDefault="003631AB" w:rsidP="003631AB">
            <w:p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Local control of land and ecosystems as portion of total</w:t>
            </w:r>
          </w:p>
        </w:tc>
        <w:tc>
          <w:tcPr>
            <w:tcW w:w="6833" w:type="dxa"/>
            <w:tcBorders>
              <w:left w:val="single" w:sz="4" w:space="0" w:color="auto"/>
              <w:right w:val="single" w:sz="4" w:space="0" w:color="auto"/>
            </w:tcBorders>
          </w:tcPr>
          <w:p w14:paraId="2B1D78E4" w14:textId="7EC3B3DC" w:rsidR="003631AB" w:rsidRDefault="00A5617B" w:rsidP="00A5617B">
            <w:pPr>
              <w:pStyle w:val="ListParagraph"/>
              <w:numPr>
                <w:ilvl w:val="0"/>
                <w:numId w:val="18"/>
              </w:numPr>
              <w:ind w:left="245" w:hanging="180"/>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Using RRI data, identify the amount of land that is designated for AND owned by Indigenous Peoples and local communities in the country in question.</w:t>
            </w:r>
          </w:p>
          <w:p w14:paraId="34D7E98C" w14:textId="77777777" w:rsidR="00A5617B" w:rsidRDefault="00A5617B" w:rsidP="00A5617B">
            <w:pPr>
              <w:pStyle w:val="ListParagraph"/>
              <w:numPr>
                <w:ilvl w:val="0"/>
                <w:numId w:val="18"/>
              </w:numPr>
              <w:ind w:left="245" w:hanging="180"/>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 xml:space="preserve">Using RRI data, identify the total amount of land in the country in question. </w:t>
            </w:r>
          </w:p>
          <w:p w14:paraId="3CEF5B0C" w14:textId="4DEB8421" w:rsidR="00A5617B" w:rsidRPr="00822EAB" w:rsidRDefault="00A5617B" w:rsidP="00822EAB">
            <w:pPr>
              <w:pStyle w:val="ListParagraph"/>
              <w:numPr>
                <w:ilvl w:val="0"/>
                <w:numId w:val="18"/>
              </w:numPr>
              <w:ind w:left="245" w:hanging="180"/>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Enter both scores in Block 2 and ca</w:t>
            </w:r>
            <w:r w:rsidR="00822EAB">
              <w:rPr>
                <w:rFonts w:ascii="Open Sans Light" w:hAnsi="Open Sans Light"/>
                <w:sz w:val="16"/>
                <w:szCs w:val="16"/>
                <w:lang w:val="en-GB"/>
              </w:rPr>
              <w:t xml:space="preserve">lculate score (50 points possible). </w:t>
            </w:r>
          </w:p>
        </w:tc>
      </w:tr>
      <w:tr w:rsidR="005716B6" w:rsidRPr="009859E6" w14:paraId="08C2B3D3" w14:textId="77777777" w:rsidTr="003631AB">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1860" w:type="dxa"/>
            <w:vMerge/>
            <w:tcBorders>
              <w:left w:val="single" w:sz="4" w:space="0" w:color="auto"/>
              <w:bottom w:val="single" w:sz="4" w:space="0" w:color="auto"/>
              <w:right w:val="single" w:sz="4" w:space="0" w:color="auto"/>
            </w:tcBorders>
            <w:shd w:val="clear" w:color="auto" w:fill="B6DDE8" w:themeFill="accent5" w:themeFillTint="66"/>
          </w:tcPr>
          <w:p w14:paraId="465FB1BD" w14:textId="34723C5C" w:rsidR="005716B6" w:rsidRPr="009859E6" w:rsidRDefault="005716B6">
            <w:pPr>
              <w:rPr>
                <w:rFonts w:ascii="Open Sans Light" w:hAnsi="Open Sans Light"/>
                <w:b w:val="0"/>
                <w:sz w:val="16"/>
                <w:szCs w:val="16"/>
                <w:lang w:val="en-GB"/>
              </w:rPr>
            </w:pPr>
          </w:p>
        </w:tc>
        <w:tc>
          <w:tcPr>
            <w:tcW w:w="1765" w:type="dxa"/>
            <w:tcBorders>
              <w:left w:val="single" w:sz="4" w:space="0" w:color="auto"/>
              <w:bottom w:val="single" w:sz="4" w:space="0" w:color="auto"/>
              <w:right w:val="single" w:sz="4" w:space="0" w:color="auto"/>
            </w:tcBorders>
          </w:tcPr>
          <w:p w14:paraId="3EFC9627" w14:textId="5B158D6A" w:rsidR="005716B6" w:rsidRPr="009859E6" w:rsidRDefault="003631AB" w:rsidP="00FD680E">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6C</w:t>
            </w:r>
            <w:r w:rsidR="005716B6" w:rsidRPr="009859E6">
              <w:rPr>
                <w:rFonts w:ascii="Open Sans Light" w:hAnsi="Open Sans Light"/>
                <w:sz w:val="16"/>
                <w:szCs w:val="16"/>
                <w:lang w:val="en-GB"/>
              </w:rPr>
              <w:t xml:space="preserve"> Final Score</w:t>
            </w:r>
          </w:p>
        </w:tc>
        <w:tc>
          <w:tcPr>
            <w:tcW w:w="6833" w:type="dxa"/>
            <w:tcBorders>
              <w:left w:val="single" w:sz="4" w:space="0" w:color="auto"/>
              <w:bottom w:val="single" w:sz="4" w:space="0" w:color="auto"/>
              <w:right w:val="single" w:sz="4" w:space="0" w:color="auto"/>
            </w:tcBorders>
          </w:tcPr>
          <w:p w14:paraId="603267BD" w14:textId="0F558B56" w:rsidR="005716B6" w:rsidRPr="0080391F" w:rsidRDefault="00822EAB" w:rsidP="00822EAB">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 xml:space="preserve">The 6C Final Score will be obtained by adding the scores for Block 1 and Block 2, for a total of 100 points possible. </w:t>
            </w:r>
          </w:p>
        </w:tc>
      </w:tr>
    </w:tbl>
    <w:p w14:paraId="31B992A6" w14:textId="77777777" w:rsidR="0079740F" w:rsidRPr="009859E6" w:rsidRDefault="0079740F" w:rsidP="00C03116">
      <w:pPr>
        <w:rPr>
          <w:rFonts w:ascii="Open Sans Regular" w:hAnsi="Open Sans Regular"/>
          <w:sz w:val="20"/>
          <w:szCs w:val="16"/>
          <w:lang w:val="en-GB"/>
        </w:rPr>
      </w:pPr>
    </w:p>
    <w:p w14:paraId="0690C2C7" w14:textId="77777777" w:rsidR="0079740F" w:rsidRPr="009859E6" w:rsidRDefault="0079740F">
      <w:pPr>
        <w:rPr>
          <w:rFonts w:ascii="Open Sans Regular" w:hAnsi="Open Sans Regular"/>
          <w:sz w:val="20"/>
          <w:szCs w:val="16"/>
          <w:lang w:val="en-GB"/>
        </w:rPr>
      </w:pPr>
      <w:r w:rsidRPr="009859E6">
        <w:rPr>
          <w:rFonts w:ascii="Open Sans Regular" w:hAnsi="Open Sans Regular"/>
          <w:sz w:val="20"/>
          <w:szCs w:val="16"/>
          <w:lang w:val="en-GB"/>
        </w:rPr>
        <w:br w:type="page"/>
      </w:r>
    </w:p>
    <w:p w14:paraId="62371914" w14:textId="24321B47" w:rsidR="003D1518" w:rsidRPr="009859E6" w:rsidRDefault="00B65223" w:rsidP="00C03116">
      <w:pPr>
        <w:rPr>
          <w:rFonts w:ascii="Open Sans Regular" w:hAnsi="Open Sans Regular"/>
          <w:sz w:val="20"/>
          <w:szCs w:val="16"/>
          <w:lang w:val="en-GB"/>
        </w:rPr>
      </w:pPr>
      <w:r w:rsidRPr="009859E6">
        <w:rPr>
          <w:rFonts w:ascii="Open Sans Regular" w:hAnsi="Open Sans Regular"/>
          <w:sz w:val="20"/>
          <w:szCs w:val="16"/>
          <w:lang w:val="en-GB"/>
        </w:rPr>
        <w:lastRenderedPageBreak/>
        <w:t>Section 2</w:t>
      </w:r>
      <w:r w:rsidR="00C03116" w:rsidRPr="009859E6">
        <w:rPr>
          <w:rFonts w:ascii="Open Sans Regular" w:hAnsi="Open Sans Regular"/>
          <w:sz w:val="20"/>
          <w:szCs w:val="16"/>
          <w:lang w:val="en-GB"/>
        </w:rPr>
        <w:t>: Assessment</w:t>
      </w:r>
    </w:p>
    <w:p w14:paraId="4C0B32A4" w14:textId="77777777" w:rsidR="003D1518" w:rsidRPr="009859E6" w:rsidRDefault="003D1518" w:rsidP="00741893">
      <w:pPr>
        <w:rPr>
          <w:rFonts w:ascii="Open Sans Light" w:hAnsi="Open Sans Light"/>
          <w:sz w:val="16"/>
          <w:szCs w:val="16"/>
          <w:lang w:val="en-GB"/>
        </w:rPr>
      </w:pPr>
    </w:p>
    <w:p w14:paraId="610BC509" w14:textId="47590213" w:rsidR="00127327" w:rsidRPr="009859E6" w:rsidRDefault="005859FB" w:rsidP="00906240">
      <w:pPr>
        <w:rPr>
          <w:rFonts w:ascii="Open Sans Light" w:hAnsi="Open Sans Light"/>
          <w:sz w:val="16"/>
          <w:szCs w:val="16"/>
          <w:u w:val="single"/>
          <w:lang w:val="en-GB"/>
        </w:rPr>
      </w:pPr>
      <w:r w:rsidRPr="009859E6">
        <w:rPr>
          <w:rFonts w:ascii="Open Sans Light" w:hAnsi="Open Sans Light"/>
          <w:sz w:val="16"/>
          <w:szCs w:val="16"/>
          <w:u w:val="single"/>
          <w:lang w:val="en-GB"/>
        </w:rPr>
        <w:t xml:space="preserve">Block 1: </w:t>
      </w:r>
      <w:r w:rsidR="005A6894" w:rsidRPr="005A6894">
        <w:rPr>
          <w:rFonts w:ascii="Open Sans Light" w:hAnsi="Open Sans Light"/>
          <w:sz w:val="16"/>
          <w:szCs w:val="16"/>
          <w:u w:val="single"/>
          <w:lang w:val="en-GB"/>
        </w:rPr>
        <w:t>Community-Based Tenure Regime(s)</w:t>
      </w:r>
    </w:p>
    <w:p w14:paraId="2320A9B9" w14:textId="77777777" w:rsidR="00C80F4F" w:rsidRPr="009859E6" w:rsidRDefault="00C80F4F" w:rsidP="00906240">
      <w:pPr>
        <w:rPr>
          <w:rFonts w:ascii="Open Sans Light" w:hAnsi="Open Sans Light"/>
          <w:sz w:val="16"/>
          <w:szCs w:val="16"/>
          <w:u w:val="single"/>
          <w:lang w:val="en-GB"/>
        </w:rPr>
      </w:pPr>
    </w:p>
    <w:p w14:paraId="0EB0A310" w14:textId="4D401889" w:rsidR="008524D4" w:rsidRPr="009859E6" w:rsidRDefault="00127327" w:rsidP="00906240">
      <w:pPr>
        <w:rPr>
          <w:rFonts w:ascii="Open Sans Light" w:hAnsi="Open Sans Light"/>
          <w:sz w:val="16"/>
          <w:szCs w:val="16"/>
          <w:lang w:val="en-GB"/>
        </w:rPr>
      </w:pPr>
      <w:r w:rsidRPr="009859E6">
        <w:rPr>
          <w:rFonts w:ascii="Open Sans Light" w:hAnsi="Open Sans Light"/>
          <w:sz w:val="16"/>
          <w:szCs w:val="16"/>
          <w:lang w:val="en-GB"/>
        </w:rPr>
        <w:t xml:space="preserve">Methodology: </w:t>
      </w:r>
      <w:r w:rsidR="005A6894">
        <w:rPr>
          <w:rFonts w:ascii="Open Sans Light" w:hAnsi="Open Sans Light"/>
          <w:sz w:val="16"/>
          <w:szCs w:val="16"/>
          <w:lang w:val="en-GB"/>
        </w:rPr>
        <w:t>Rights and Resources Initiative (RRI)</w:t>
      </w:r>
    </w:p>
    <w:p w14:paraId="68E8C79A" w14:textId="283D8E49" w:rsidR="005A796C" w:rsidRPr="009859E6" w:rsidRDefault="005A796C" w:rsidP="005A796C">
      <w:pPr>
        <w:rPr>
          <w:rFonts w:ascii="Open Sans Light" w:hAnsi="Open Sans Light"/>
          <w:sz w:val="16"/>
          <w:szCs w:val="16"/>
          <w:lang w:val="en-GB"/>
        </w:rPr>
      </w:pPr>
      <w:r w:rsidRPr="009859E6">
        <w:rPr>
          <w:rFonts w:ascii="Open Sans Light" w:hAnsi="Open Sans Light"/>
          <w:sz w:val="16"/>
          <w:szCs w:val="16"/>
          <w:lang w:val="en-GB"/>
        </w:rPr>
        <w:t xml:space="preserve">To Score: </w:t>
      </w:r>
      <w:r w:rsidR="000C3CD9">
        <w:rPr>
          <w:rFonts w:ascii="Open Sans Light" w:hAnsi="Open Sans Light"/>
          <w:sz w:val="16"/>
          <w:szCs w:val="16"/>
          <w:lang w:val="en-GB"/>
        </w:rPr>
        <w:t xml:space="preserve">Select the </w:t>
      </w:r>
      <w:r w:rsidR="000C3CD9" w:rsidRPr="000C3CD9">
        <w:rPr>
          <w:rFonts w:ascii="Open Sans Light" w:hAnsi="Open Sans Light"/>
          <w:sz w:val="16"/>
          <w:szCs w:val="16"/>
          <w:u w:val="single"/>
          <w:lang w:val="en-GB"/>
        </w:rPr>
        <w:t>ONE SCENARIO</w:t>
      </w:r>
      <w:r w:rsidR="000C3CD9">
        <w:rPr>
          <w:rFonts w:ascii="Open Sans Light" w:hAnsi="Open Sans Light"/>
          <w:sz w:val="16"/>
          <w:szCs w:val="16"/>
          <w:lang w:val="en-GB"/>
        </w:rPr>
        <w:t xml:space="preserve"> that corresponds to the country in </w:t>
      </w:r>
      <w:proofErr w:type="gramStart"/>
      <w:r w:rsidR="000C3CD9">
        <w:rPr>
          <w:rFonts w:ascii="Open Sans Light" w:hAnsi="Open Sans Light"/>
          <w:sz w:val="16"/>
          <w:szCs w:val="16"/>
          <w:lang w:val="en-GB"/>
        </w:rPr>
        <w:t>question,</w:t>
      </w:r>
      <w:proofErr w:type="gramEnd"/>
      <w:r w:rsidR="000C3CD9">
        <w:rPr>
          <w:rFonts w:ascii="Open Sans Light" w:hAnsi="Open Sans Light"/>
          <w:sz w:val="16"/>
          <w:szCs w:val="16"/>
          <w:lang w:val="en-GB"/>
        </w:rPr>
        <w:t xml:space="preserve"> use the corresponding score as B1.</w:t>
      </w:r>
    </w:p>
    <w:p w14:paraId="296C53F6" w14:textId="77777777" w:rsidR="008524D4" w:rsidRPr="009859E6" w:rsidRDefault="008524D4" w:rsidP="005859FB">
      <w:pPr>
        <w:ind w:left="720"/>
        <w:rPr>
          <w:rFonts w:ascii="Open Sans Light" w:hAnsi="Open Sans Light"/>
          <w:sz w:val="16"/>
          <w:szCs w:val="16"/>
          <w:u w:val="single"/>
          <w:lang w:val="en-GB"/>
        </w:rPr>
      </w:pPr>
    </w:p>
    <w:tbl>
      <w:tblPr>
        <w:tblStyle w:val="LightGrid"/>
        <w:tblW w:w="9822" w:type="dxa"/>
        <w:tblInd w:w="468" w:type="dxa"/>
        <w:tblCellMar>
          <w:top w:w="29" w:type="dxa"/>
          <w:left w:w="115" w:type="dxa"/>
          <w:bottom w:w="29" w:type="dxa"/>
          <w:right w:w="115" w:type="dxa"/>
        </w:tblCellMar>
        <w:tblLook w:val="04A0" w:firstRow="1" w:lastRow="0" w:firstColumn="1" w:lastColumn="0" w:noHBand="0" w:noVBand="1"/>
      </w:tblPr>
      <w:tblGrid>
        <w:gridCol w:w="720"/>
        <w:gridCol w:w="8112"/>
        <w:gridCol w:w="990"/>
      </w:tblGrid>
      <w:tr w:rsidR="00D45777" w:rsidRPr="009859E6" w14:paraId="79776FED" w14:textId="77777777" w:rsidTr="006F3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2" w:type="dxa"/>
            <w:gridSpan w:val="3"/>
          </w:tcPr>
          <w:p w14:paraId="6918DA31" w14:textId="10B4F003" w:rsidR="00D45777" w:rsidRPr="009859E6" w:rsidRDefault="00D45777" w:rsidP="000C3CD9">
            <w:pPr>
              <w:rPr>
                <w:rFonts w:ascii="Open Sans Light" w:hAnsi="Open Sans Light"/>
                <w:b w:val="0"/>
                <w:color w:val="4BACC6" w:themeColor="accent5"/>
                <w:sz w:val="16"/>
                <w:szCs w:val="16"/>
                <w:lang w:val="en-GB"/>
              </w:rPr>
            </w:pPr>
          </w:p>
        </w:tc>
      </w:tr>
      <w:tr w:rsidR="008524D4" w:rsidRPr="009859E6" w14:paraId="15FD4FC2" w14:textId="77777777" w:rsidTr="006F30A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20" w:type="dxa"/>
            <w:vAlign w:val="center"/>
          </w:tcPr>
          <w:p w14:paraId="760DC70A" w14:textId="77777777" w:rsidR="008524D4" w:rsidRPr="009859E6" w:rsidRDefault="008524D4" w:rsidP="00692407">
            <w:pPr>
              <w:jc w:val="center"/>
              <w:rPr>
                <w:rFonts w:ascii="Open Sans Light" w:hAnsi="Open Sans Light"/>
                <w:b w:val="0"/>
                <w:sz w:val="16"/>
                <w:szCs w:val="16"/>
                <w:lang w:val="en-GB"/>
              </w:rPr>
            </w:pPr>
            <w:r w:rsidRPr="009859E6">
              <w:rPr>
                <w:rFonts w:ascii="Open Sans Light" w:hAnsi="Open Sans Light"/>
                <w:b w:val="0"/>
                <w:sz w:val="16"/>
                <w:szCs w:val="16"/>
                <w:lang w:val="en-GB"/>
              </w:rPr>
              <w:t>1</w:t>
            </w:r>
          </w:p>
        </w:tc>
        <w:tc>
          <w:tcPr>
            <w:tcW w:w="8112" w:type="dxa"/>
            <w:vAlign w:val="center"/>
          </w:tcPr>
          <w:p w14:paraId="0999B2DD" w14:textId="79C420FB" w:rsidR="008524D4" w:rsidRPr="009859E6" w:rsidRDefault="005A6894" w:rsidP="00C530B0">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Scenario 1:</w:t>
            </w:r>
            <w:r>
              <w:t xml:space="preserve"> </w:t>
            </w:r>
            <w:r w:rsidRPr="005A6894">
              <w:rPr>
                <w:rFonts w:ascii="Open Sans Bold" w:hAnsi="Open Sans Bold"/>
                <w:sz w:val="16"/>
                <w:szCs w:val="16"/>
                <w:u w:val="single"/>
                <w:lang w:val="en-GB"/>
              </w:rPr>
              <w:t>No</w:t>
            </w:r>
            <w:r w:rsidRPr="005A6894">
              <w:rPr>
                <w:rFonts w:ascii="Open Sans Light" w:hAnsi="Open Sans Light"/>
                <w:sz w:val="16"/>
                <w:szCs w:val="16"/>
                <w:lang w:val="en-GB"/>
              </w:rPr>
              <w:t xml:space="preserve"> community-based tenure regimes legally recognize sufficient rights to be classified as either “designated for” or “owned by” Indigenous Peoples and local communities.</w:t>
            </w:r>
          </w:p>
        </w:tc>
        <w:tc>
          <w:tcPr>
            <w:tcW w:w="990" w:type="dxa"/>
            <w:vAlign w:val="center"/>
          </w:tcPr>
          <w:p w14:paraId="686F6EDF" w14:textId="78CA64C3" w:rsidR="008524D4" w:rsidRPr="009859E6" w:rsidRDefault="005A6894" w:rsidP="005A6894">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0</w:t>
            </w:r>
          </w:p>
        </w:tc>
      </w:tr>
      <w:tr w:rsidR="009509D1" w:rsidRPr="009859E6" w14:paraId="35A8024D" w14:textId="77777777" w:rsidTr="006F30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E463930" w14:textId="471F5B18" w:rsidR="009509D1" w:rsidRPr="009859E6" w:rsidRDefault="005A6894" w:rsidP="00194BC8">
            <w:pPr>
              <w:jc w:val="right"/>
              <w:rPr>
                <w:rFonts w:ascii="Open Sans Light" w:hAnsi="Open Sans Light"/>
                <w:b w:val="0"/>
                <w:sz w:val="16"/>
                <w:szCs w:val="16"/>
                <w:lang w:val="en-GB"/>
              </w:rPr>
            </w:pPr>
            <w:r>
              <w:rPr>
                <w:rFonts w:ascii="Open Sans Light" w:hAnsi="Open Sans Light"/>
                <w:b w:val="0"/>
                <w:sz w:val="16"/>
                <w:szCs w:val="16"/>
                <w:lang w:val="en-GB"/>
              </w:rPr>
              <w:t>Note</w:t>
            </w:r>
            <w:r w:rsidR="009509D1" w:rsidRPr="009859E6">
              <w:rPr>
                <w:rFonts w:ascii="Open Sans Light" w:hAnsi="Open Sans Light"/>
                <w:b w:val="0"/>
                <w:sz w:val="16"/>
                <w:szCs w:val="16"/>
                <w:lang w:val="en-GB"/>
              </w:rPr>
              <w:t>:</w:t>
            </w:r>
          </w:p>
        </w:tc>
        <w:tc>
          <w:tcPr>
            <w:tcW w:w="8112" w:type="dxa"/>
          </w:tcPr>
          <w:p w14:paraId="370CADFF" w14:textId="05E73381" w:rsidR="009509D1" w:rsidRPr="009859E6" w:rsidRDefault="005A6894" w:rsidP="005A6894">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r>
              <w:rPr>
                <w:rFonts w:ascii="Open Sans Light" w:hAnsi="Open Sans Light"/>
                <w:sz w:val="16"/>
                <w:szCs w:val="16"/>
              </w:rPr>
              <w:t xml:space="preserve">This means that legally, no regime exists that allows for land to be either “designated for” or “owned by” Indigenous Peoples and local communities. </w:t>
            </w:r>
          </w:p>
        </w:tc>
        <w:tc>
          <w:tcPr>
            <w:tcW w:w="990" w:type="dxa"/>
          </w:tcPr>
          <w:p w14:paraId="7C7BD504" w14:textId="77777777" w:rsidR="009509D1" w:rsidRPr="009859E6" w:rsidRDefault="009509D1" w:rsidP="00194BC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8524D4" w:rsidRPr="009859E6" w14:paraId="6849C89F" w14:textId="77777777" w:rsidTr="006F3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Align w:val="center"/>
          </w:tcPr>
          <w:p w14:paraId="31E98AC9" w14:textId="77777777" w:rsidR="008524D4" w:rsidRPr="009859E6" w:rsidRDefault="008524D4" w:rsidP="00692407">
            <w:pPr>
              <w:jc w:val="center"/>
              <w:rPr>
                <w:rFonts w:ascii="Open Sans Light" w:hAnsi="Open Sans Light"/>
                <w:b w:val="0"/>
                <w:sz w:val="16"/>
                <w:szCs w:val="16"/>
                <w:lang w:val="en-GB"/>
              </w:rPr>
            </w:pPr>
            <w:r w:rsidRPr="009859E6">
              <w:rPr>
                <w:rFonts w:ascii="Open Sans Light" w:hAnsi="Open Sans Light"/>
                <w:b w:val="0"/>
                <w:sz w:val="16"/>
                <w:szCs w:val="16"/>
                <w:lang w:val="en-GB"/>
              </w:rPr>
              <w:t>2</w:t>
            </w:r>
          </w:p>
        </w:tc>
        <w:tc>
          <w:tcPr>
            <w:tcW w:w="8112" w:type="dxa"/>
            <w:vAlign w:val="center"/>
          </w:tcPr>
          <w:p w14:paraId="677E1B88" w14:textId="31F1941D" w:rsidR="008524D4" w:rsidRPr="009859E6" w:rsidRDefault="005A6894" w:rsidP="00C530B0">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Scenario 2:</w:t>
            </w:r>
            <w:r>
              <w:t xml:space="preserve"> </w:t>
            </w:r>
            <w:r w:rsidRPr="005A6894">
              <w:rPr>
                <w:rFonts w:ascii="Open Sans Bold" w:hAnsi="Open Sans Bold"/>
                <w:sz w:val="16"/>
                <w:szCs w:val="16"/>
                <w:u w:val="single"/>
                <w:lang w:val="en-GB"/>
              </w:rPr>
              <w:t>Only</w:t>
            </w:r>
            <w:r w:rsidRPr="005A6894">
              <w:rPr>
                <w:rFonts w:ascii="Open Sans Light" w:hAnsi="Open Sans Light"/>
                <w:sz w:val="16"/>
                <w:szCs w:val="16"/>
                <w:lang w:val="en-GB"/>
              </w:rPr>
              <w:t xml:space="preserve"> community-based tenure regime(s) classified as “designated for Indigenous Peoples and local communities” legally exist.</w:t>
            </w:r>
          </w:p>
        </w:tc>
        <w:tc>
          <w:tcPr>
            <w:tcW w:w="990" w:type="dxa"/>
            <w:vAlign w:val="center"/>
          </w:tcPr>
          <w:p w14:paraId="6BF31A6D" w14:textId="19C91114" w:rsidR="00910D9E" w:rsidRPr="009859E6" w:rsidRDefault="005A6894" w:rsidP="00910D9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25</w:t>
            </w:r>
          </w:p>
        </w:tc>
      </w:tr>
      <w:tr w:rsidR="009509D1" w:rsidRPr="009859E6" w14:paraId="14B3A9B3" w14:textId="77777777" w:rsidTr="006F30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96D0397" w14:textId="462DF898" w:rsidR="009509D1" w:rsidRPr="009859E6" w:rsidRDefault="005A6894" w:rsidP="00194BC8">
            <w:pPr>
              <w:jc w:val="right"/>
              <w:rPr>
                <w:rFonts w:ascii="Open Sans Light" w:hAnsi="Open Sans Light"/>
                <w:b w:val="0"/>
                <w:sz w:val="16"/>
                <w:szCs w:val="16"/>
                <w:lang w:val="en-GB"/>
              </w:rPr>
            </w:pPr>
            <w:r>
              <w:rPr>
                <w:rFonts w:ascii="Open Sans Light" w:hAnsi="Open Sans Light"/>
                <w:b w:val="0"/>
                <w:sz w:val="16"/>
                <w:szCs w:val="16"/>
                <w:lang w:val="en-GB"/>
              </w:rPr>
              <w:t>Note</w:t>
            </w:r>
            <w:r w:rsidR="00194BC8" w:rsidRPr="009859E6">
              <w:rPr>
                <w:rFonts w:ascii="Open Sans Light" w:hAnsi="Open Sans Light"/>
                <w:b w:val="0"/>
                <w:sz w:val="16"/>
                <w:szCs w:val="16"/>
                <w:lang w:val="en-GB"/>
              </w:rPr>
              <w:t>:</w:t>
            </w:r>
          </w:p>
        </w:tc>
        <w:tc>
          <w:tcPr>
            <w:tcW w:w="8112" w:type="dxa"/>
          </w:tcPr>
          <w:p w14:paraId="362F7380" w14:textId="1B666679" w:rsidR="009509D1" w:rsidRPr="009859E6" w:rsidRDefault="005A6894" w:rsidP="00E35FFB">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r>
              <w:rPr>
                <w:rFonts w:ascii="Open Sans Light" w:hAnsi="Open Sans Light"/>
                <w:sz w:val="16"/>
                <w:szCs w:val="16"/>
              </w:rPr>
              <w:t xml:space="preserve">This means that legally, the </w:t>
            </w:r>
            <w:r w:rsidRPr="00E35FFB">
              <w:rPr>
                <w:rFonts w:ascii="Open Sans Light" w:hAnsi="Open Sans Light"/>
                <w:i/>
                <w:sz w:val="16"/>
                <w:szCs w:val="16"/>
                <w:u w:val="single"/>
              </w:rPr>
              <w:t>only existing regime</w:t>
            </w:r>
            <w:r>
              <w:rPr>
                <w:rFonts w:ascii="Open Sans Light" w:hAnsi="Open Sans Light"/>
                <w:sz w:val="16"/>
                <w:szCs w:val="16"/>
              </w:rPr>
              <w:t xml:space="preserve"> allows for land to be “</w:t>
            </w:r>
            <w:r w:rsidRPr="00E35FFB">
              <w:rPr>
                <w:rFonts w:ascii="Open Sans Light" w:hAnsi="Open Sans Light"/>
                <w:i/>
                <w:sz w:val="16"/>
                <w:szCs w:val="16"/>
                <w:u w:val="single"/>
              </w:rPr>
              <w:t>designated for</w:t>
            </w:r>
            <w:r>
              <w:rPr>
                <w:rFonts w:ascii="Open Sans Light" w:hAnsi="Open Sans Light"/>
                <w:sz w:val="16"/>
                <w:szCs w:val="16"/>
              </w:rPr>
              <w:t xml:space="preserve">” </w:t>
            </w:r>
            <w:r w:rsidR="00E35FFB">
              <w:rPr>
                <w:rFonts w:ascii="Open Sans Light" w:hAnsi="Open Sans Light"/>
                <w:sz w:val="16"/>
                <w:szCs w:val="16"/>
              </w:rPr>
              <w:t xml:space="preserve">Indigenous Peoples and local communities; ownership in this scenario is not legally possible. </w:t>
            </w:r>
          </w:p>
        </w:tc>
        <w:tc>
          <w:tcPr>
            <w:tcW w:w="990" w:type="dxa"/>
          </w:tcPr>
          <w:p w14:paraId="556EBF74" w14:textId="77777777" w:rsidR="009509D1" w:rsidRPr="009859E6" w:rsidRDefault="009509D1" w:rsidP="00194BC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8524D4" w:rsidRPr="009859E6" w14:paraId="5B9B8944" w14:textId="77777777" w:rsidTr="006F3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Align w:val="center"/>
          </w:tcPr>
          <w:p w14:paraId="71A273DE" w14:textId="0B370032" w:rsidR="008524D4" w:rsidRPr="009859E6" w:rsidRDefault="008524D4" w:rsidP="00692407">
            <w:pPr>
              <w:jc w:val="center"/>
              <w:rPr>
                <w:rFonts w:ascii="Open Sans Light" w:hAnsi="Open Sans Light"/>
                <w:b w:val="0"/>
                <w:sz w:val="16"/>
                <w:szCs w:val="16"/>
                <w:lang w:val="en-GB"/>
              </w:rPr>
            </w:pPr>
            <w:r w:rsidRPr="009859E6">
              <w:rPr>
                <w:rFonts w:ascii="Open Sans Light" w:hAnsi="Open Sans Light"/>
                <w:b w:val="0"/>
                <w:sz w:val="16"/>
                <w:szCs w:val="16"/>
                <w:lang w:val="en-GB"/>
              </w:rPr>
              <w:t>3</w:t>
            </w:r>
          </w:p>
        </w:tc>
        <w:tc>
          <w:tcPr>
            <w:tcW w:w="8112" w:type="dxa"/>
            <w:vAlign w:val="center"/>
          </w:tcPr>
          <w:p w14:paraId="00441260" w14:textId="261F22B1" w:rsidR="008524D4" w:rsidRPr="009859E6" w:rsidRDefault="005A6894" w:rsidP="00C530B0">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 xml:space="preserve">Scenario 3: </w:t>
            </w:r>
            <w:r w:rsidR="00E35FFB" w:rsidRPr="00E35FFB">
              <w:rPr>
                <w:rFonts w:ascii="Open Sans Bold" w:hAnsi="Open Sans Bold"/>
                <w:sz w:val="16"/>
                <w:szCs w:val="16"/>
                <w:u w:val="single"/>
                <w:lang w:val="en-GB"/>
              </w:rPr>
              <w:t>Only</w:t>
            </w:r>
            <w:r w:rsidR="00E35FFB" w:rsidRPr="00E35FFB">
              <w:rPr>
                <w:rFonts w:ascii="Open Sans Light" w:hAnsi="Open Sans Light"/>
                <w:sz w:val="16"/>
                <w:szCs w:val="16"/>
                <w:lang w:val="en-GB"/>
              </w:rPr>
              <w:t xml:space="preserve"> community-based tenure regime(s) classified as “owned by Indigenous Peoples and local communities” legally exist</w:t>
            </w:r>
          </w:p>
        </w:tc>
        <w:tc>
          <w:tcPr>
            <w:tcW w:w="990" w:type="dxa"/>
            <w:vAlign w:val="center"/>
          </w:tcPr>
          <w:p w14:paraId="4E8190C4" w14:textId="5D78BF9D" w:rsidR="008524D4" w:rsidRPr="009859E6" w:rsidRDefault="00E35FFB" w:rsidP="00906240">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50</w:t>
            </w:r>
          </w:p>
        </w:tc>
      </w:tr>
      <w:tr w:rsidR="009509D1" w:rsidRPr="009859E6" w14:paraId="0034E28F" w14:textId="77777777" w:rsidTr="006F30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8FD4501" w14:textId="77777777"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112" w:type="dxa"/>
          </w:tcPr>
          <w:p w14:paraId="474CE572" w14:textId="20F223C4" w:rsidR="009509D1" w:rsidRPr="009859E6" w:rsidRDefault="00E35FFB" w:rsidP="00E35FFB">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r>
              <w:rPr>
                <w:rFonts w:ascii="Open Sans Light" w:hAnsi="Open Sans Light"/>
                <w:sz w:val="16"/>
                <w:szCs w:val="16"/>
              </w:rPr>
              <w:t xml:space="preserve">This means that legally, the </w:t>
            </w:r>
            <w:r w:rsidRPr="00E35FFB">
              <w:rPr>
                <w:rFonts w:ascii="Open Sans Light" w:hAnsi="Open Sans Light"/>
                <w:i/>
                <w:sz w:val="16"/>
                <w:szCs w:val="16"/>
                <w:u w:val="single"/>
              </w:rPr>
              <w:t>only existing regime</w:t>
            </w:r>
            <w:r>
              <w:rPr>
                <w:rFonts w:ascii="Open Sans Light" w:hAnsi="Open Sans Light"/>
                <w:sz w:val="16"/>
                <w:szCs w:val="16"/>
              </w:rPr>
              <w:t xml:space="preserve"> allows for land to be “</w:t>
            </w:r>
            <w:r>
              <w:rPr>
                <w:rFonts w:ascii="Open Sans Light" w:hAnsi="Open Sans Light"/>
                <w:i/>
                <w:sz w:val="16"/>
                <w:szCs w:val="16"/>
                <w:u w:val="single"/>
              </w:rPr>
              <w:t>owned</w:t>
            </w:r>
            <w:r w:rsidRPr="00E35FFB">
              <w:rPr>
                <w:rFonts w:ascii="Open Sans Light" w:hAnsi="Open Sans Light"/>
                <w:i/>
                <w:sz w:val="16"/>
                <w:szCs w:val="16"/>
                <w:u w:val="single"/>
              </w:rPr>
              <w:t xml:space="preserve"> for</w:t>
            </w:r>
            <w:r>
              <w:rPr>
                <w:rFonts w:ascii="Open Sans Light" w:hAnsi="Open Sans Light"/>
                <w:sz w:val="16"/>
                <w:szCs w:val="16"/>
              </w:rPr>
              <w:t>” Indigenous Peoples and local communities; designation in this scenario is not legally possible. This is considered the best possible scenario, as it guarantees the highest level of control over land.</w:t>
            </w:r>
          </w:p>
        </w:tc>
        <w:tc>
          <w:tcPr>
            <w:tcW w:w="990" w:type="dxa"/>
          </w:tcPr>
          <w:p w14:paraId="6C0B1516" w14:textId="77777777" w:rsidR="009509D1" w:rsidRPr="009859E6" w:rsidRDefault="009509D1" w:rsidP="00194BC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8524D4" w:rsidRPr="009859E6" w14:paraId="3A714AB8" w14:textId="77777777" w:rsidTr="006F3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Align w:val="center"/>
          </w:tcPr>
          <w:p w14:paraId="78EDEAAA" w14:textId="77777777" w:rsidR="008524D4" w:rsidRPr="009859E6" w:rsidRDefault="008524D4" w:rsidP="00692407">
            <w:pPr>
              <w:jc w:val="center"/>
              <w:rPr>
                <w:rFonts w:ascii="Open Sans Light" w:hAnsi="Open Sans Light"/>
                <w:b w:val="0"/>
                <w:sz w:val="16"/>
                <w:szCs w:val="16"/>
                <w:lang w:val="en-GB"/>
              </w:rPr>
            </w:pPr>
            <w:r w:rsidRPr="009859E6">
              <w:rPr>
                <w:rFonts w:ascii="Open Sans Light" w:hAnsi="Open Sans Light"/>
                <w:b w:val="0"/>
                <w:sz w:val="16"/>
                <w:szCs w:val="16"/>
                <w:lang w:val="en-GB"/>
              </w:rPr>
              <w:t>4</w:t>
            </w:r>
          </w:p>
        </w:tc>
        <w:tc>
          <w:tcPr>
            <w:tcW w:w="8112" w:type="dxa"/>
            <w:vAlign w:val="center"/>
          </w:tcPr>
          <w:p w14:paraId="5A506A5A" w14:textId="4ECEEA56" w:rsidR="008524D4" w:rsidRPr="00E35FFB" w:rsidRDefault="005A6894" w:rsidP="00E35FFB">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E35FFB">
              <w:rPr>
                <w:rFonts w:ascii="Open Sans Light" w:hAnsi="Open Sans Light"/>
                <w:sz w:val="16"/>
                <w:szCs w:val="16"/>
                <w:lang w:val="en-GB"/>
              </w:rPr>
              <w:t>Scenario 4:</w:t>
            </w:r>
            <w:r w:rsidR="00E35FFB" w:rsidRPr="00E35FFB">
              <w:rPr>
                <w:rFonts w:ascii="Open Sans Light" w:hAnsi="Open Sans Light"/>
                <w:sz w:val="16"/>
                <w:szCs w:val="16"/>
              </w:rPr>
              <w:t xml:space="preserve"> </w:t>
            </w:r>
            <w:r w:rsidR="00E35FFB" w:rsidRPr="00E35FFB">
              <w:rPr>
                <w:rFonts w:ascii="Open Sans Bold" w:hAnsi="Open Sans Bold"/>
                <w:sz w:val="16"/>
                <w:szCs w:val="16"/>
                <w:u w:val="single"/>
              </w:rPr>
              <w:t>Both</w:t>
            </w:r>
            <w:r w:rsidR="00E35FFB" w:rsidRPr="00E35FFB">
              <w:rPr>
                <w:rFonts w:ascii="Open Sans Light" w:hAnsi="Open Sans Light"/>
                <w:sz w:val="16"/>
                <w:szCs w:val="16"/>
              </w:rPr>
              <w:t xml:space="preserve"> </w:t>
            </w:r>
            <w:r w:rsidR="00E35FFB">
              <w:rPr>
                <w:rFonts w:ascii="Open Sans Light" w:hAnsi="Open Sans Light"/>
                <w:sz w:val="16"/>
                <w:szCs w:val="16"/>
                <w:lang w:val="en-GB"/>
              </w:rPr>
              <w:t>c</w:t>
            </w:r>
            <w:r w:rsidR="00E35FFB" w:rsidRPr="00E35FFB">
              <w:rPr>
                <w:rFonts w:ascii="Open Sans Light" w:hAnsi="Open Sans Light"/>
                <w:sz w:val="16"/>
                <w:szCs w:val="16"/>
                <w:lang w:val="en-GB"/>
              </w:rPr>
              <w:t xml:space="preserve">ommunity-based tenure regimes </w:t>
            </w:r>
            <w:r w:rsidR="00E35FFB">
              <w:rPr>
                <w:rFonts w:ascii="Open Sans Light" w:hAnsi="Open Sans Light"/>
                <w:sz w:val="16"/>
                <w:szCs w:val="16"/>
                <w:lang w:val="en-GB"/>
              </w:rPr>
              <w:t>that allow</w:t>
            </w:r>
            <w:r w:rsidR="00E35FFB" w:rsidRPr="00E35FFB">
              <w:rPr>
                <w:rFonts w:ascii="Open Sans Light" w:hAnsi="Open Sans Light"/>
                <w:sz w:val="16"/>
                <w:szCs w:val="16"/>
                <w:lang w:val="en-GB"/>
              </w:rPr>
              <w:t xml:space="preserve"> “designated for” and “owned by” Indigenous Peoples and local communities exist.</w:t>
            </w:r>
          </w:p>
        </w:tc>
        <w:tc>
          <w:tcPr>
            <w:tcW w:w="990" w:type="dxa"/>
            <w:vAlign w:val="center"/>
          </w:tcPr>
          <w:p w14:paraId="5A0CDC6E" w14:textId="11F2E590" w:rsidR="008524D4" w:rsidRPr="009859E6" w:rsidRDefault="005A6894" w:rsidP="00906240">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50</w:t>
            </w:r>
          </w:p>
        </w:tc>
      </w:tr>
      <w:tr w:rsidR="009509D1" w:rsidRPr="009859E6" w14:paraId="5E75777B" w14:textId="77777777" w:rsidTr="006F30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7E43B47" w14:textId="77777777"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112" w:type="dxa"/>
          </w:tcPr>
          <w:p w14:paraId="59C2D687" w14:textId="6BB31DA5" w:rsidR="009509D1" w:rsidRPr="009859E6" w:rsidRDefault="00E35FFB" w:rsidP="00E35FFB">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r>
              <w:rPr>
                <w:rFonts w:ascii="Open Sans Light" w:hAnsi="Open Sans Light"/>
                <w:sz w:val="16"/>
                <w:szCs w:val="16"/>
                <w:lang w:val="en-GB"/>
              </w:rPr>
              <w:t>If c</w:t>
            </w:r>
            <w:r w:rsidRPr="00E35FFB">
              <w:rPr>
                <w:rFonts w:ascii="Open Sans Light" w:hAnsi="Open Sans Light"/>
                <w:sz w:val="16"/>
                <w:szCs w:val="16"/>
                <w:lang w:val="en-GB"/>
              </w:rPr>
              <w:t>ommunity-based tenure regimes</w:t>
            </w:r>
            <w:r>
              <w:rPr>
                <w:rFonts w:ascii="Open Sans Light" w:hAnsi="Open Sans Light"/>
                <w:sz w:val="16"/>
                <w:szCs w:val="16"/>
              </w:rPr>
              <w:t xml:space="preserve"> exist that allow for land to be BOTH “designated for” AND “owned by” Indigenous Peoples and local communities, 50 points is also awarded – considered 25+25, in this case. </w:t>
            </w:r>
          </w:p>
        </w:tc>
        <w:tc>
          <w:tcPr>
            <w:tcW w:w="990" w:type="dxa"/>
          </w:tcPr>
          <w:p w14:paraId="22ACE90E" w14:textId="77777777" w:rsidR="009509D1" w:rsidRPr="009859E6" w:rsidRDefault="009509D1" w:rsidP="00194BC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9509D1" w:rsidRPr="009859E6" w14:paraId="3948F25A" w14:textId="77777777" w:rsidTr="006F3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2" w:type="dxa"/>
            <w:gridSpan w:val="2"/>
            <w:shd w:val="clear" w:color="auto" w:fill="DAEEF3" w:themeFill="accent5" w:themeFillTint="33"/>
          </w:tcPr>
          <w:p w14:paraId="0CD7CC3A" w14:textId="00175AA2" w:rsidR="009509D1" w:rsidRPr="009859E6" w:rsidRDefault="009509D1" w:rsidP="00DA7E5D">
            <w:pPr>
              <w:rPr>
                <w:rFonts w:ascii="Open Sans Light" w:hAnsi="Open Sans Light"/>
                <w:b w:val="0"/>
                <w:sz w:val="16"/>
                <w:szCs w:val="16"/>
                <w:lang w:val="en-GB"/>
              </w:rPr>
            </w:pPr>
            <w:r w:rsidRPr="009859E6">
              <w:rPr>
                <w:rFonts w:ascii="Open Sans Light" w:hAnsi="Open Sans Light"/>
                <w:b w:val="0"/>
                <w:sz w:val="16"/>
                <w:szCs w:val="16"/>
                <w:lang w:val="en-GB"/>
              </w:rPr>
              <w:t>Block 1 Score (0-</w:t>
            </w:r>
            <w:r w:rsidR="005A6894">
              <w:rPr>
                <w:rFonts w:ascii="Open Sans Light" w:hAnsi="Open Sans Light"/>
                <w:b w:val="0"/>
                <w:sz w:val="16"/>
                <w:szCs w:val="16"/>
                <w:lang w:val="en-GB"/>
              </w:rPr>
              <w:t>50</w:t>
            </w:r>
            <w:r w:rsidR="00B65223" w:rsidRPr="009859E6">
              <w:rPr>
                <w:rFonts w:ascii="Open Sans Light" w:hAnsi="Open Sans Light"/>
                <w:b w:val="0"/>
                <w:sz w:val="16"/>
                <w:szCs w:val="16"/>
                <w:lang w:val="en-GB"/>
              </w:rPr>
              <w:t>)</w:t>
            </w:r>
            <w:r w:rsidRPr="009859E6">
              <w:rPr>
                <w:rFonts w:ascii="Open Sans Light" w:hAnsi="Open Sans Light"/>
                <w:b w:val="0"/>
                <w:sz w:val="16"/>
                <w:szCs w:val="16"/>
                <w:lang w:val="en-GB"/>
              </w:rPr>
              <w:t xml:space="preserve"> </w:t>
            </w:r>
          </w:p>
        </w:tc>
        <w:tc>
          <w:tcPr>
            <w:tcW w:w="990" w:type="dxa"/>
            <w:shd w:val="clear" w:color="auto" w:fill="DAEEF3" w:themeFill="accent5" w:themeFillTint="33"/>
          </w:tcPr>
          <w:p w14:paraId="4DC27D2C" w14:textId="58806E14" w:rsidR="009509D1" w:rsidRPr="009859E6" w:rsidRDefault="0045635B" w:rsidP="00194BC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B1</w:t>
            </w:r>
          </w:p>
        </w:tc>
      </w:tr>
    </w:tbl>
    <w:p w14:paraId="1E353728" w14:textId="6D0BCD82" w:rsidR="004D4BC2" w:rsidRPr="009859E6" w:rsidRDefault="009509D1" w:rsidP="004D4BC2">
      <w:pPr>
        <w:rPr>
          <w:rFonts w:ascii="Open Sans Light" w:hAnsi="Open Sans Light"/>
          <w:sz w:val="16"/>
          <w:szCs w:val="16"/>
          <w:u w:val="single"/>
          <w:lang w:val="en-GB"/>
        </w:rPr>
      </w:pPr>
      <w:r w:rsidRPr="009859E6">
        <w:rPr>
          <w:rFonts w:ascii="Open Sans Light" w:hAnsi="Open Sans Light"/>
          <w:sz w:val="16"/>
          <w:szCs w:val="16"/>
          <w:lang w:val="en-GB"/>
        </w:rPr>
        <w:br w:type="page"/>
      </w:r>
      <w:r w:rsidR="004D4BC2">
        <w:rPr>
          <w:rFonts w:ascii="Open Sans Light" w:hAnsi="Open Sans Light"/>
          <w:sz w:val="16"/>
          <w:szCs w:val="16"/>
          <w:u w:val="single"/>
          <w:lang w:val="en-GB"/>
        </w:rPr>
        <w:lastRenderedPageBreak/>
        <w:t>Block 2</w:t>
      </w:r>
      <w:r w:rsidR="004D4BC2" w:rsidRPr="009859E6">
        <w:rPr>
          <w:rFonts w:ascii="Open Sans Light" w:hAnsi="Open Sans Light"/>
          <w:sz w:val="16"/>
          <w:szCs w:val="16"/>
          <w:u w:val="single"/>
          <w:lang w:val="en-GB"/>
        </w:rPr>
        <w:t xml:space="preserve">: </w:t>
      </w:r>
      <w:r w:rsidR="004D4BC2" w:rsidRPr="004D4BC2">
        <w:rPr>
          <w:rFonts w:ascii="Open Sans Light" w:hAnsi="Open Sans Light"/>
          <w:sz w:val="16"/>
          <w:szCs w:val="16"/>
          <w:u w:val="single"/>
          <w:lang w:val="en-GB"/>
        </w:rPr>
        <w:t>Local control of land and ecosystems as portion of total</w:t>
      </w:r>
    </w:p>
    <w:p w14:paraId="7A91C68E" w14:textId="77777777" w:rsidR="004D4BC2" w:rsidRPr="009859E6" w:rsidRDefault="004D4BC2" w:rsidP="004D4BC2">
      <w:pPr>
        <w:rPr>
          <w:rFonts w:ascii="Open Sans Light" w:hAnsi="Open Sans Light"/>
          <w:sz w:val="16"/>
          <w:szCs w:val="16"/>
          <w:u w:val="single"/>
          <w:lang w:val="en-GB"/>
        </w:rPr>
      </w:pPr>
    </w:p>
    <w:p w14:paraId="457B2B4C" w14:textId="77777777" w:rsidR="004D4BC2" w:rsidRPr="009859E6" w:rsidRDefault="004D4BC2" w:rsidP="004D4BC2">
      <w:pPr>
        <w:rPr>
          <w:rFonts w:ascii="Open Sans Light" w:hAnsi="Open Sans Light"/>
          <w:sz w:val="16"/>
          <w:szCs w:val="16"/>
          <w:lang w:val="en-GB"/>
        </w:rPr>
      </w:pPr>
      <w:r w:rsidRPr="009859E6">
        <w:rPr>
          <w:rFonts w:ascii="Open Sans Light" w:hAnsi="Open Sans Light"/>
          <w:sz w:val="16"/>
          <w:szCs w:val="16"/>
          <w:lang w:val="en-GB"/>
        </w:rPr>
        <w:t xml:space="preserve">Methodology: </w:t>
      </w:r>
      <w:r>
        <w:rPr>
          <w:rFonts w:ascii="Open Sans Light" w:hAnsi="Open Sans Light"/>
          <w:sz w:val="16"/>
          <w:szCs w:val="16"/>
          <w:lang w:val="en-GB"/>
        </w:rPr>
        <w:t>Rights and Resources Initiative (RRI)</w:t>
      </w:r>
    </w:p>
    <w:p w14:paraId="2138EA3D" w14:textId="5E260727" w:rsidR="004D4BC2" w:rsidRDefault="004D4BC2" w:rsidP="007E2FD4">
      <w:pPr>
        <w:rPr>
          <w:rFonts w:ascii="Open Sans Light" w:hAnsi="Open Sans Light"/>
          <w:sz w:val="16"/>
          <w:szCs w:val="16"/>
          <w:lang w:val="en-GB"/>
        </w:rPr>
      </w:pPr>
      <w:r>
        <w:rPr>
          <w:rFonts w:ascii="Open Sans Light" w:hAnsi="Open Sans Light"/>
          <w:sz w:val="16"/>
          <w:szCs w:val="16"/>
          <w:lang w:val="en-GB"/>
        </w:rPr>
        <w:t>To Score: Follow guidelines for calculation of B2.</w:t>
      </w:r>
    </w:p>
    <w:p w14:paraId="1F7EE1A8" w14:textId="77777777" w:rsidR="004D4BC2" w:rsidRPr="009859E6" w:rsidRDefault="004D4BC2" w:rsidP="007E2FD4">
      <w:pPr>
        <w:rPr>
          <w:rFonts w:ascii="Open Sans Light" w:hAnsi="Open Sans Light"/>
          <w:color w:val="4BACC6" w:themeColor="accent5"/>
          <w:sz w:val="16"/>
          <w:szCs w:val="16"/>
          <w:lang w:val="en-GB"/>
        </w:rPr>
      </w:pPr>
    </w:p>
    <w:tbl>
      <w:tblPr>
        <w:tblStyle w:val="LightGrid"/>
        <w:tblW w:w="9990" w:type="dxa"/>
        <w:tblInd w:w="468" w:type="dxa"/>
        <w:tblCellMar>
          <w:top w:w="29" w:type="dxa"/>
          <w:left w:w="115" w:type="dxa"/>
          <w:bottom w:w="29" w:type="dxa"/>
          <w:right w:w="115" w:type="dxa"/>
        </w:tblCellMar>
        <w:tblLook w:val="04A0" w:firstRow="1" w:lastRow="0" w:firstColumn="1" w:lastColumn="0" w:noHBand="0" w:noVBand="1"/>
      </w:tblPr>
      <w:tblGrid>
        <w:gridCol w:w="686"/>
        <w:gridCol w:w="8326"/>
        <w:gridCol w:w="978"/>
      </w:tblGrid>
      <w:tr w:rsidR="00D45777" w:rsidRPr="009859E6" w14:paraId="155851F5" w14:textId="77777777" w:rsidTr="006F3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3"/>
          </w:tcPr>
          <w:p w14:paraId="13E362F7" w14:textId="77777777" w:rsidR="00D45777" w:rsidRPr="009859E6" w:rsidRDefault="00D45777" w:rsidP="00906240">
            <w:pPr>
              <w:jc w:val="center"/>
              <w:rPr>
                <w:rFonts w:ascii="Open Sans Light" w:hAnsi="Open Sans Light"/>
                <w:b w:val="0"/>
                <w:sz w:val="16"/>
                <w:szCs w:val="16"/>
                <w:lang w:val="en-GB"/>
              </w:rPr>
            </w:pPr>
          </w:p>
        </w:tc>
      </w:tr>
      <w:tr w:rsidR="001716E0" w:rsidRPr="009859E6" w14:paraId="11863788" w14:textId="77777777" w:rsidTr="004D4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784CEEA1" w14:textId="3667ADB4"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1</w:t>
            </w:r>
          </w:p>
        </w:tc>
        <w:tc>
          <w:tcPr>
            <w:tcW w:w="8326" w:type="dxa"/>
          </w:tcPr>
          <w:p w14:paraId="3A6B9365" w14:textId="0F097FFA" w:rsidR="001716E0" w:rsidRPr="009859E6" w:rsidRDefault="004D4BC2" w:rsidP="008524D4">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Total amount of land “designated for” Indigenous Peoples and local communities</w:t>
            </w:r>
          </w:p>
        </w:tc>
        <w:tc>
          <w:tcPr>
            <w:tcW w:w="978" w:type="dxa"/>
            <w:shd w:val="clear" w:color="auto" w:fill="DAEEF3" w:themeFill="accent5" w:themeFillTint="33"/>
          </w:tcPr>
          <w:p w14:paraId="4C025BBD" w14:textId="7FC559CA" w:rsidR="001716E0" w:rsidRPr="009859E6" w:rsidRDefault="004D4BC2" w:rsidP="00810B8B">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B2.a</w:t>
            </w:r>
          </w:p>
        </w:tc>
      </w:tr>
      <w:tr w:rsidR="009509D1" w:rsidRPr="009859E6" w14:paraId="471BDA7F" w14:textId="77777777" w:rsidTr="004D4B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77020D74" w14:textId="129A19F9"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24CB1FB1" w14:textId="77777777" w:rsidR="009509D1" w:rsidRPr="009859E6" w:rsidRDefault="009509D1" w:rsidP="008524D4">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78" w:type="dxa"/>
          </w:tcPr>
          <w:p w14:paraId="1F8B8938" w14:textId="77777777" w:rsidR="009509D1" w:rsidRPr="009859E6" w:rsidRDefault="009509D1" w:rsidP="00810B8B">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1716E0" w:rsidRPr="009859E6" w14:paraId="418ECBA4" w14:textId="77777777" w:rsidTr="004D4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650D1606" w14:textId="427F900F"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2</w:t>
            </w:r>
          </w:p>
        </w:tc>
        <w:tc>
          <w:tcPr>
            <w:tcW w:w="8326" w:type="dxa"/>
          </w:tcPr>
          <w:p w14:paraId="4212D82B" w14:textId="00CD33E1" w:rsidR="001716E0" w:rsidRPr="009859E6" w:rsidRDefault="004D4BC2" w:rsidP="008524D4">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Pr>
                <w:rFonts w:ascii="Open Sans Light" w:hAnsi="Open Sans Light"/>
                <w:sz w:val="16"/>
                <w:szCs w:val="16"/>
              </w:rPr>
              <w:t xml:space="preserve">Total amount of land “owned by” Indigenous Peoples and local communities. </w:t>
            </w:r>
          </w:p>
        </w:tc>
        <w:tc>
          <w:tcPr>
            <w:tcW w:w="978" w:type="dxa"/>
            <w:shd w:val="clear" w:color="auto" w:fill="DAEEF3" w:themeFill="accent5" w:themeFillTint="33"/>
          </w:tcPr>
          <w:p w14:paraId="67FBCA5A" w14:textId="7708F7A2" w:rsidR="001716E0" w:rsidRPr="009859E6" w:rsidRDefault="004D4BC2" w:rsidP="00810B8B">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B2.b</w:t>
            </w:r>
          </w:p>
        </w:tc>
      </w:tr>
      <w:tr w:rsidR="001716E0" w:rsidRPr="009859E6" w14:paraId="031F3F47" w14:textId="77777777" w:rsidTr="004D4B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3737B590" w14:textId="0A504866" w:rsidR="001716E0" w:rsidRPr="009859E6" w:rsidRDefault="004D4BC2" w:rsidP="00EE6F94">
            <w:pPr>
              <w:jc w:val="center"/>
              <w:rPr>
                <w:rFonts w:ascii="Open Sans Light" w:hAnsi="Open Sans Light"/>
                <w:b w:val="0"/>
                <w:sz w:val="16"/>
                <w:szCs w:val="16"/>
                <w:lang w:val="en-GB"/>
              </w:rPr>
            </w:pPr>
            <w:r>
              <w:rPr>
                <w:rFonts w:ascii="Open Sans Light" w:hAnsi="Open Sans Light"/>
                <w:b w:val="0"/>
                <w:sz w:val="16"/>
                <w:szCs w:val="16"/>
                <w:lang w:val="en-GB"/>
              </w:rPr>
              <w:t>Ref:</w:t>
            </w:r>
          </w:p>
        </w:tc>
        <w:tc>
          <w:tcPr>
            <w:tcW w:w="8326" w:type="dxa"/>
          </w:tcPr>
          <w:p w14:paraId="6F3D25B5" w14:textId="369E8FCF" w:rsidR="001716E0" w:rsidRPr="009859E6" w:rsidRDefault="001716E0" w:rsidP="004D4BC2">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78" w:type="dxa"/>
            <w:shd w:val="clear" w:color="auto" w:fill="auto"/>
          </w:tcPr>
          <w:p w14:paraId="17DC8D23" w14:textId="178C28E1" w:rsidR="001716E0" w:rsidRPr="009859E6" w:rsidRDefault="001716E0" w:rsidP="00906240">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9509D1" w:rsidRPr="009859E6" w14:paraId="68A400C2" w14:textId="77777777" w:rsidTr="004D4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4CAB8152" w14:textId="02808572" w:rsidR="009509D1" w:rsidRPr="009859E6" w:rsidRDefault="004D4BC2" w:rsidP="004D4BC2">
            <w:pPr>
              <w:jc w:val="center"/>
              <w:rPr>
                <w:rFonts w:ascii="Open Sans Light" w:hAnsi="Open Sans Light"/>
                <w:b w:val="0"/>
                <w:sz w:val="16"/>
                <w:szCs w:val="16"/>
                <w:lang w:val="en-GB"/>
              </w:rPr>
            </w:pPr>
            <w:r>
              <w:rPr>
                <w:rFonts w:ascii="Open Sans Light" w:hAnsi="Open Sans Light"/>
                <w:b w:val="0"/>
                <w:sz w:val="16"/>
                <w:szCs w:val="16"/>
                <w:lang w:val="en-GB"/>
              </w:rPr>
              <w:t>3.</w:t>
            </w:r>
          </w:p>
        </w:tc>
        <w:tc>
          <w:tcPr>
            <w:tcW w:w="8326" w:type="dxa"/>
          </w:tcPr>
          <w:p w14:paraId="6A8CF3F7" w14:textId="2E110607" w:rsidR="009509D1" w:rsidRPr="009859E6" w:rsidRDefault="004D4BC2" w:rsidP="008524D4">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Total amount of land in the country</w:t>
            </w:r>
          </w:p>
        </w:tc>
        <w:tc>
          <w:tcPr>
            <w:tcW w:w="978" w:type="dxa"/>
            <w:shd w:val="clear" w:color="auto" w:fill="DAEEF3" w:themeFill="accent5" w:themeFillTint="33"/>
          </w:tcPr>
          <w:p w14:paraId="3C782804" w14:textId="5A14034C" w:rsidR="009509D1" w:rsidRPr="009859E6" w:rsidRDefault="002D5606" w:rsidP="00906240">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B2.d</w:t>
            </w:r>
          </w:p>
        </w:tc>
      </w:tr>
      <w:tr w:rsidR="001716E0" w:rsidRPr="009859E6" w14:paraId="35EA7561" w14:textId="77777777" w:rsidTr="004D4B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419B37F7" w14:textId="015403B3" w:rsidR="001716E0" w:rsidRPr="009859E6" w:rsidRDefault="004D4BC2" w:rsidP="00EE6F94">
            <w:pPr>
              <w:jc w:val="center"/>
              <w:rPr>
                <w:rFonts w:ascii="Open Sans Light" w:hAnsi="Open Sans Light"/>
                <w:b w:val="0"/>
                <w:sz w:val="16"/>
                <w:szCs w:val="16"/>
                <w:lang w:val="en-GB"/>
              </w:rPr>
            </w:pPr>
            <w:r>
              <w:rPr>
                <w:rFonts w:ascii="Open Sans Light" w:hAnsi="Open Sans Light"/>
                <w:b w:val="0"/>
                <w:sz w:val="16"/>
                <w:szCs w:val="16"/>
                <w:lang w:val="en-GB"/>
              </w:rPr>
              <w:t>Ref:</w:t>
            </w:r>
          </w:p>
        </w:tc>
        <w:tc>
          <w:tcPr>
            <w:tcW w:w="8326" w:type="dxa"/>
          </w:tcPr>
          <w:p w14:paraId="7ABED498" w14:textId="7D3C045E" w:rsidR="001716E0" w:rsidRPr="009859E6" w:rsidRDefault="001716E0" w:rsidP="004D4BC2">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78" w:type="dxa"/>
            <w:shd w:val="clear" w:color="auto" w:fill="auto"/>
            <w:vAlign w:val="center"/>
          </w:tcPr>
          <w:p w14:paraId="05EED192" w14:textId="5E20FDE7" w:rsidR="001716E0" w:rsidRPr="009859E6" w:rsidRDefault="001716E0" w:rsidP="00E12E99">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1716E0" w:rsidRPr="009859E6" w14:paraId="0D15F492" w14:textId="77777777" w:rsidTr="004D4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2" w:type="dxa"/>
            <w:gridSpan w:val="2"/>
            <w:shd w:val="clear" w:color="auto" w:fill="DAEEF3" w:themeFill="accent5" w:themeFillTint="33"/>
          </w:tcPr>
          <w:p w14:paraId="43E4B618" w14:textId="77777777" w:rsidR="002D5606" w:rsidRDefault="004D4BC2" w:rsidP="00DA7E5D">
            <w:pPr>
              <w:rPr>
                <w:rFonts w:ascii="Open Sans Light" w:hAnsi="Open Sans Light"/>
                <w:b w:val="0"/>
                <w:sz w:val="16"/>
                <w:szCs w:val="16"/>
                <w:lang w:val="en-GB"/>
              </w:rPr>
            </w:pPr>
            <w:r>
              <w:rPr>
                <w:rFonts w:ascii="Open Sans Light" w:hAnsi="Open Sans Light"/>
                <w:b w:val="0"/>
                <w:sz w:val="16"/>
                <w:szCs w:val="16"/>
                <w:lang w:val="en-GB"/>
              </w:rPr>
              <w:t>Sub-total (B2.c) of land designated for and owned by Indigenous Peoples and local communities, calculated as:</w:t>
            </w:r>
            <w:r w:rsidR="002D5606">
              <w:rPr>
                <w:rFonts w:ascii="Open Sans Light" w:hAnsi="Open Sans Light"/>
                <w:b w:val="0"/>
                <w:sz w:val="16"/>
                <w:szCs w:val="16"/>
                <w:lang w:val="en-GB"/>
              </w:rPr>
              <w:t xml:space="preserve"> </w:t>
            </w:r>
          </w:p>
          <w:p w14:paraId="1D7A2A9E" w14:textId="784748F0" w:rsidR="001716E0" w:rsidRPr="002D5606" w:rsidRDefault="002D5606" w:rsidP="00DA7E5D">
            <w:pPr>
              <w:rPr>
                <w:rFonts w:ascii="Open Sans Light" w:hAnsi="Open Sans Light"/>
                <w:b w:val="0"/>
                <w:i/>
                <w:sz w:val="16"/>
                <w:szCs w:val="16"/>
                <w:lang w:val="en-GB"/>
              </w:rPr>
            </w:pPr>
            <m:oMathPara>
              <m:oMathParaPr>
                <m:jc m:val="left"/>
              </m:oMathParaPr>
              <m:oMath>
                <m:r>
                  <w:rPr>
                    <w:rFonts w:ascii="Cambria Math" w:hAnsi="Cambria Math"/>
                    <w:sz w:val="16"/>
                    <w:szCs w:val="16"/>
                    <w:lang w:val="en-GB"/>
                  </w:rPr>
                  <m:t>B2.a + B2.b = B2.c</m:t>
                </m:r>
              </m:oMath>
            </m:oMathPara>
          </w:p>
        </w:tc>
        <w:tc>
          <w:tcPr>
            <w:tcW w:w="978" w:type="dxa"/>
            <w:shd w:val="clear" w:color="auto" w:fill="DAEEF3" w:themeFill="accent5" w:themeFillTint="33"/>
            <w:vAlign w:val="center"/>
          </w:tcPr>
          <w:p w14:paraId="72C1BA53" w14:textId="50264C9B" w:rsidR="001716E0" w:rsidRPr="009859E6" w:rsidRDefault="001716E0" w:rsidP="004D4BC2">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B2</w:t>
            </w:r>
            <w:r w:rsidR="004D4BC2">
              <w:rPr>
                <w:rFonts w:ascii="Open Sans Light" w:hAnsi="Open Sans Light"/>
                <w:sz w:val="16"/>
                <w:szCs w:val="16"/>
                <w:lang w:val="en-GB"/>
              </w:rPr>
              <w:t>.c</w:t>
            </w:r>
          </w:p>
        </w:tc>
      </w:tr>
      <w:tr w:rsidR="00C37102" w:rsidRPr="009859E6" w14:paraId="0561E44C" w14:textId="77777777" w:rsidTr="006F30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2" w:type="dxa"/>
            <w:gridSpan w:val="2"/>
            <w:shd w:val="clear" w:color="auto" w:fill="DAEEF3" w:themeFill="accent5" w:themeFillTint="33"/>
            <w:vAlign w:val="center"/>
          </w:tcPr>
          <w:p w14:paraId="35FBC61F" w14:textId="4146235B" w:rsidR="00C37102" w:rsidRPr="009859E6" w:rsidRDefault="002D5606" w:rsidP="002D5606">
            <w:pPr>
              <w:rPr>
                <w:rFonts w:ascii="Open Sans Light" w:hAnsi="Open Sans Light"/>
                <w:b w:val="0"/>
                <w:sz w:val="16"/>
                <w:szCs w:val="16"/>
                <w:lang w:val="en-GB"/>
              </w:rPr>
            </w:pPr>
            <w:r>
              <w:rPr>
                <w:rFonts w:ascii="Open Sans Light" w:hAnsi="Open Sans Light"/>
                <w:b w:val="0"/>
                <w:sz w:val="16"/>
                <w:szCs w:val="16"/>
                <w:lang w:val="en-GB"/>
              </w:rPr>
              <w:t xml:space="preserve">Block 2 (B2) Score (0-50) </w:t>
            </w:r>
            <w:r w:rsidR="004D4BC2">
              <w:rPr>
                <w:rFonts w:ascii="Open Sans Light" w:hAnsi="Open Sans Light"/>
                <w:b w:val="0"/>
                <w:sz w:val="16"/>
                <w:szCs w:val="16"/>
                <w:lang w:val="en-GB"/>
              </w:rPr>
              <w:t xml:space="preserve">calculated as: </w:t>
            </w:r>
            <m:oMath>
              <m:d>
                <m:dPr>
                  <m:ctrlPr>
                    <w:rPr>
                      <w:rFonts w:ascii="Cambria Math" w:hAnsi="Cambria Math"/>
                      <w:bCs w:val="0"/>
                      <w:i/>
                      <w:sz w:val="16"/>
                      <w:szCs w:val="16"/>
                      <w:lang w:val="en-GB"/>
                    </w:rPr>
                  </m:ctrlPr>
                </m:dPr>
                <m:e>
                  <m:r>
                    <w:rPr>
                      <w:rFonts w:ascii="Cambria Math" w:hAnsi="Cambria Math"/>
                      <w:sz w:val="16"/>
                      <w:szCs w:val="16"/>
                      <w:lang w:val="en-GB"/>
                    </w:rPr>
                    <m:t>B2.c ÷B2.d</m:t>
                  </m:r>
                </m:e>
              </m:d>
              <m:r>
                <w:rPr>
                  <w:rFonts w:ascii="Cambria Math" w:hAnsi="Cambria Math"/>
                  <w:sz w:val="16"/>
                  <w:szCs w:val="16"/>
                  <w:lang w:val="en-GB"/>
                </w:rPr>
                <m:t xml:space="preserve"> × 50=B2</m:t>
              </m:r>
            </m:oMath>
          </w:p>
        </w:tc>
        <w:tc>
          <w:tcPr>
            <w:tcW w:w="978" w:type="dxa"/>
            <w:shd w:val="clear" w:color="auto" w:fill="DAEEF3" w:themeFill="accent5" w:themeFillTint="33"/>
            <w:vAlign w:val="center"/>
          </w:tcPr>
          <w:p w14:paraId="16EC616A" w14:textId="522BC415" w:rsidR="00C37102" w:rsidRPr="009859E6" w:rsidRDefault="002D5606" w:rsidP="00C37102">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B2</w:t>
            </w:r>
          </w:p>
        </w:tc>
      </w:tr>
    </w:tbl>
    <w:p w14:paraId="1AA31FC7" w14:textId="77777777" w:rsidR="00651DDD" w:rsidRPr="009859E6" w:rsidRDefault="00651DDD"/>
    <w:p w14:paraId="09650D52" w14:textId="2075DA43" w:rsidR="0011707A" w:rsidRPr="009859E6" w:rsidRDefault="00153B75" w:rsidP="004031A5">
      <w:pPr>
        <w:rPr>
          <w:rFonts w:ascii="Open Sans Light" w:hAnsi="Open Sans Light"/>
          <w:sz w:val="16"/>
          <w:szCs w:val="16"/>
          <w:u w:val="single"/>
          <w:lang w:val="en-GB"/>
        </w:rPr>
      </w:pPr>
      <w:r w:rsidRPr="009859E6">
        <w:rPr>
          <w:rFonts w:ascii="Open Sans Light" w:hAnsi="Open Sans Light"/>
          <w:sz w:val="16"/>
          <w:szCs w:val="16"/>
          <w:u w:val="single"/>
          <w:lang w:val="en-GB"/>
        </w:rPr>
        <w:br w:type="page"/>
      </w:r>
      <w:r w:rsidR="0011707A" w:rsidRPr="009859E6">
        <w:rPr>
          <w:rFonts w:ascii="Open Sans Regular" w:hAnsi="Open Sans Regular"/>
          <w:sz w:val="20"/>
          <w:szCs w:val="16"/>
          <w:lang w:val="en-GB"/>
        </w:rPr>
        <w:lastRenderedPageBreak/>
        <w:t>S</w:t>
      </w:r>
      <w:r w:rsidR="00B65223" w:rsidRPr="009859E6">
        <w:rPr>
          <w:rFonts w:ascii="Open Sans Regular" w:hAnsi="Open Sans Regular"/>
          <w:sz w:val="20"/>
          <w:szCs w:val="16"/>
          <w:lang w:val="en-GB"/>
        </w:rPr>
        <w:t>ection 3</w:t>
      </w:r>
      <w:r w:rsidR="0011707A" w:rsidRPr="009859E6">
        <w:rPr>
          <w:rFonts w:ascii="Open Sans Regular" w:hAnsi="Open Sans Regular"/>
          <w:sz w:val="20"/>
          <w:szCs w:val="16"/>
          <w:lang w:val="en-GB"/>
        </w:rPr>
        <w:t>: Results</w:t>
      </w:r>
    </w:p>
    <w:p w14:paraId="04BCB9DE" w14:textId="77777777" w:rsidR="0011707A" w:rsidRPr="009859E6" w:rsidRDefault="0011707A" w:rsidP="00B41B1E">
      <w:pPr>
        <w:tabs>
          <w:tab w:val="left" w:pos="3649"/>
        </w:tabs>
        <w:rPr>
          <w:rFonts w:ascii="Open Sans Light" w:hAnsi="Open Sans Light"/>
          <w:sz w:val="16"/>
          <w:szCs w:val="16"/>
          <w:u w:val="single"/>
          <w:lang w:val="en-GB"/>
        </w:rPr>
      </w:pPr>
    </w:p>
    <w:p w14:paraId="2E59313C" w14:textId="53C29004" w:rsidR="001A7F74" w:rsidRPr="009859E6" w:rsidRDefault="004F5BC3" w:rsidP="00B41B1E">
      <w:pPr>
        <w:tabs>
          <w:tab w:val="left" w:pos="3649"/>
        </w:tabs>
        <w:rPr>
          <w:rFonts w:ascii="Open Sans Light" w:hAnsi="Open Sans Light"/>
          <w:sz w:val="16"/>
          <w:szCs w:val="16"/>
          <w:u w:val="single"/>
          <w:lang w:val="en-GB"/>
        </w:rPr>
      </w:pPr>
      <w:r w:rsidRPr="009859E6">
        <w:rPr>
          <w:rFonts w:ascii="Open Sans Light" w:hAnsi="Open Sans Light"/>
          <w:sz w:val="16"/>
          <w:szCs w:val="16"/>
          <w:u w:val="single"/>
          <w:lang w:val="en-GB"/>
        </w:rPr>
        <w:t>Compute Total Score</w:t>
      </w:r>
      <w:r w:rsidR="002D0EB5" w:rsidRPr="009859E6">
        <w:rPr>
          <w:rFonts w:ascii="Open Sans Light" w:hAnsi="Open Sans Light"/>
          <w:sz w:val="16"/>
          <w:szCs w:val="16"/>
          <w:u w:val="single"/>
          <w:lang w:val="en-GB"/>
        </w:rPr>
        <w:t>:</w:t>
      </w:r>
    </w:p>
    <w:p w14:paraId="60474B0B" w14:textId="77777777" w:rsidR="001A7F74" w:rsidRPr="009859E6" w:rsidRDefault="001A7F74">
      <w:pPr>
        <w:rPr>
          <w:rFonts w:ascii="Open Sans Light" w:hAnsi="Open Sans Light"/>
          <w:color w:val="93BA85"/>
          <w:sz w:val="16"/>
          <w:szCs w:val="16"/>
          <w:lang w:val="en-GB"/>
        </w:rPr>
      </w:pPr>
    </w:p>
    <w:tbl>
      <w:tblPr>
        <w:tblStyle w:val="TableGrid"/>
        <w:tblW w:w="9997" w:type="dxa"/>
        <w:tblInd w:w="468" w:type="dxa"/>
        <w:tblCellMar>
          <w:top w:w="72" w:type="dxa"/>
          <w:left w:w="115" w:type="dxa"/>
          <w:bottom w:w="72" w:type="dxa"/>
          <w:right w:w="115" w:type="dxa"/>
        </w:tblCellMar>
        <w:tblLook w:val="04A0" w:firstRow="1" w:lastRow="0" w:firstColumn="1" w:lastColumn="0" w:noHBand="0" w:noVBand="1"/>
      </w:tblPr>
      <w:tblGrid>
        <w:gridCol w:w="4957"/>
        <w:gridCol w:w="5040"/>
      </w:tblGrid>
      <w:tr w:rsidR="00613071" w:rsidRPr="009859E6" w14:paraId="1B6F672D" w14:textId="77777777" w:rsidTr="00B65223">
        <w:tc>
          <w:tcPr>
            <w:tcW w:w="4957" w:type="dxa"/>
            <w:shd w:val="clear" w:color="auto" w:fill="DAEEF3" w:themeFill="accent5" w:themeFillTint="33"/>
          </w:tcPr>
          <w:p w14:paraId="75C4081A" w14:textId="2676F66A" w:rsidR="001A7F74" w:rsidRPr="009859E6" w:rsidRDefault="001A7F74" w:rsidP="0011707A">
            <w:pPr>
              <w:rPr>
                <w:rFonts w:ascii="Open Sans Light" w:hAnsi="Open Sans Light"/>
                <w:sz w:val="16"/>
                <w:szCs w:val="16"/>
                <w:lang w:val="en-GB"/>
              </w:rPr>
            </w:pPr>
            <w:r w:rsidRPr="009859E6">
              <w:rPr>
                <w:rFonts w:ascii="Open Sans Light" w:hAnsi="Open Sans Light"/>
                <w:sz w:val="16"/>
                <w:szCs w:val="16"/>
                <w:lang w:val="en-GB"/>
              </w:rPr>
              <w:t>Block 1 Score (0-</w:t>
            </w:r>
            <w:r w:rsidR="002D5606">
              <w:rPr>
                <w:rFonts w:ascii="Open Sans Light" w:hAnsi="Open Sans Light"/>
                <w:sz w:val="16"/>
                <w:szCs w:val="16"/>
                <w:lang w:val="en-GB"/>
              </w:rPr>
              <w:t>50</w:t>
            </w:r>
            <w:r w:rsidRPr="009859E6">
              <w:rPr>
                <w:rFonts w:ascii="Open Sans Light" w:hAnsi="Open Sans Light"/>
                <w:sz w:val="16"/>
                <w:szCs w:val="16"/>
                <w:lang w:val="en-GB"/>
              </w:rPr>
              <w:t>)</w:t>
            </w:r>
          </w:p>
        </w:tc>
        <w:tc>
          <w:tcPr>
            <w:tcW w:w="5040" w:type="dxa"/>
            <w:shd w:val="clear" w:color="auto" w:fill="DAEEF3" w:themeFill="accent5" w:themeFillTint="33"/>
          </w:tcPr>
          <w:p w14:paraId="7C77CFE4" w14:textId="62ED966B" w:rsidR="001A7F74" w:rsidRPr="009859E6" w:rsidRDefault="00B73CCE" w:rsidP="00B73CCE">
            <w:pPr>
              <w:jc w:val="center"/>
              <w:rPr>
                <w:rFonts w:ascii="Open Sans Light" w:hAnsi="Open Sans Light"/>
                <w:sz w:val="16"/>
                <w:szCs w:val="16"/>
                <w:lang w:val="en-GB"/>
              </w:rPr>
            </w:pPr>
            <w:r w:rsidRPr="009859E6">
              <w:rPr>
                <w:rFonts w:ascii="Open Sans Light" w:hAnsi="Open Sans Light"/>
                <w:sz w:val="16"/>
                <w:szCs w:val="16"/>
                <w:lang w:val="en-GB"/>
              </w:rPr>
              <w:t>B1</w:t>
            </w:r>
          </w:p>
        </w:tc>
      </w:tr>
      <w:tr w:rsidR="00613071" w:rsidRPr="009859E6" w14:paraId="420CF462" w14:textId="77777777" w:rsidTr="00B65223">
        <w:tc>
          <w:tcPr>
            <w:tcW w:w="4957" w:type="dxa"/>
            <w:shd w:val="clear" w:color="auto" w:fill="DAEEF3" w:themeFill="accent5" w:themeFillTint="33"/>
          </w:tcPr>
          <w:p w14:paraId="1BD5DAE1" w14:textId="4427F72D" w:rsidR="001A7F74" w:rsidRPr="009859E6" w:rsidRDefault="001A7F74" w:rsidP="0011707A">
            <w:pPr>
              <w:rPr>
                <w:rFonts w:ascii="Open Sans Light" w:hAnsi="Open Sans Light"/>
                <w:sz w:val="16"/>
                <w:szCs w:val="16"/>
                <w:lang w:val="en-GB"/>
              </w:rPr>
            </w:pPr>
            <w:r w:rsidRPr="009859E6">
              <w:rPr>
                <w:rFonts w:ascii="Open Sans Light" w:hAnsi="Open Sans Light"/>
                <w:sz w:val="16"/>
                <w:szCs w:val="16"/>
                <w:lang w:val="en-GB"/>
              </w:rPr>
              <w:t>Block 2 Score (0-</w:t>
            </w:r>
            <w:r w:rsidR="002D5606">
              <w:rPr>
                <w:rFonts w:ascii="Open Sans Light" w:hAnsi="Open Sans Light"/>
                <w:sz w:val="16"/>
                <w:szCs w:val="16"/>
                <w:lang w:val="en-GB"/>
              </w:rPr>
              <w:t>50</w:t>
            </w:r>
            <w:r w:rsidRPr="009859E6">
              <w:rPr>
                <w:rFonts w:ascii="Open Sans Light" w:hAnsi="Open Sans Light"/>
                <w:sz w:val="16"/>
                <w:szCs w:val="16"/>
                <w:lang w:val="en-GB"/>
              </w:rPr>
              <w:t>)</w:t>
            </w:r>
          </w:p>
        </w:tc>
        <w:tc>
          <w:tcPr>
            <w:tcW w:w="5040" w:type="dxa"/>
            <w:shd w:val="clear" w:color="auto" w:fill="DAEEF3" w:themeFill="accent5" w:themeFillTint="33"/>
          </w:tcPr>
          <w:p w14:paraId="763A9FAF" w14:textId="4FB07CBC" w:rsidR="001A7F74" w:rsidRPr="009859E6" w:rsidRDefault="00B73CCE" w:rsidP="00B73CCE">
            <w:pPr>
              <w:jc w:val="center"/>
              <w:rPr>
                <w:rFonts w:ascii="Open Sans Light" w:hAnsi="Open Sans Light"/>
                <w:sz w:val="16"/>
                <w:szCs w:val="16"/>
                <w:lang w:val="en-GB"/>
              </w:rPr>
            </w:pPr>
            <w:r w:rsidRPr="009859E6">
              <w:rPr>
                <w:rFonts w:ascii="Open Sans Light" w:hAnsi="Open Sans Light"/>
                <w:sz w:val="16"/>
                <w:szCs w:val="16"/>
                <w:lang w:val="en-GB"/>
              </w:rPr>
              <w:t>B2</w:t>
            </w:r>
          </w:p>
        </w:tc>
      </w:tr>
      <w:tr w:rsidR="0011707A" w:rsidRPr="009859E6" w14:paraId="338A5F1B" w14:textId="77777777" w:rsidTr="00B65223">
        <w:trPr>
          <w:trHeight w:val="1196"/>
        </w:trPr>
        <w:tc>
          <w:tcPr>
            <w:tcW w:w="4957" w:type="dxa"/>
            <w:vAlign w:val="center"/>
          </w:tcPr>
          <w:p w14:paraId="55E7AEB4" w14:textId="0496A09B" w:rsidR="0011707A" w:rsidRPr="009859E6" w:rsidRDefault="002D5606" w:rsidP="002D5606">
            <w:pPr>
              <w:rPr>
                <w:rFonts w:ascii="Open Sans Light" w:hAnsi="Open Sans Light"/>
                <w:sz w:val="16"/>
                <w:szCs w:val="16"/>
                <w:lang w:val="en-GB"/>
              </w:rPr>
            </w:pPr>
            <w:r>
              <w:rPr>
                <w:rFonts w:ascii="Open Sans Light" w:hAnsi="Open Sans Light"/>
                <w:sz w:val="16"/>
                <w:szCs w:val="16"/>
                <w:lang w:val="en-GB"/>
              </w:rPr>
              <w:t>6C</w:t>
            </w:r>
            <w:r w:rsidR="004D4A2D" w:rsidRPr="009859E6">
              <w:rPr>
                <w:rFonts w:ascii="Open Sans Light" w:hAnsi="Open Sans Light"/>
                <w:sz w:val="16"/>
                <w:szCs w:val="16"/>
                <w:lang w:val="en-GB"/>
              </w:rPr>
              <w:t xml:space="preserve"> Final </w:t>
            </w:r>
            <w:r w:rsidR="0011707A" w:rsidRPr="009859E6">
              <w:rPr>
                <w:rFonts w:ascii="Open Sans Light" w:hAnsi="Open Sans Light"/>
                <w:sz w:val="16"/>
                <w:szCs w:val="16"/>
                <w:lang w:val="en-GB"/>
              </w:rPr>
              <w:t>Score</w:t>
            </w:r>
            <w:r w:rsidR="004D4A2D" w:rsidRPr="009859E6">
              <w:rPr>
                <w:rFonts w:ascii="Open Sans Light" w:hAnsi="Open Sans Light"/>
                <w:sz w:val="16"/>
                <w:szCs w:val="16"/>
                <w:lang w:val="en-GB"/>
              </w:rPr>
              <w:t xml:space="preserve"> (0-100)</w:t>
            </w:r>
            <w:r w:rsidR="0011707A" w:rsidRPr="009859E6">
              <w:rPr>
                <w:rFonts w:ascii="Open Sans Light" w:hAnsi="Open Sans Light"/>
                <w:sz w:val="16"/>
                <w:szCs w:val="16"/>
                <w:lang w:val="en-GB"/>
              </w:rPr>
              <w:t xml:space="preserve">: </w:t>
            </w:r>
          </w:p>
        </w:tc>
        <w:tc>
          <w:tcPr>
            <w:tcW w:w="5040" w:type="dxa"/>
            <w:vAlign w:val="center"/>
          </w:tcPr>
          <w:p w14:paraId="342611EC" w14:textId="6C107077" w:rsidR="0011707A" w:rsidRPr="002D5606" w:rsidRDefault="002D5606" w:rsidP="002D5606">
            <w:pPr>
              <w:rPr>
                <w:rFonts w:ascii="Cambria Math" w:eastAsia="ＭＳ 明朝" w:hAnsi="Cambria Math" w:cs="Times New Roman"/>
                <w:i/>
                <w:sz w:val="18"/>
                <w:szCs w:val="20"/>
                <w:lang w:val="en-GB"/>
              </w:rPr>
            </w:pPr>
            <m:oMathPara>
              <m:oMath>
                <m:r>
                  <w:rPr>
                    <w:rFonts w:ascii="Cambria Math" w:hAnsi="Cambria Math"/>
                    <w:sz w:val="18"/>
                    <w:szCs w:val="20"/>
                    <w:lang w:val="en-GB"/>
                  </w:rPr>
                  <m:t>B1+B2</m:t>
                </m:r>
              </m:oMath>
            </m:oMathPara>
          </w:p>
        </w:tc>
      </w:tr>
    </w:tbl>
    <w:p w14:paraId="499CA3D9" w14:textId="43128BC1" w:rsidR="0011707A" w:rsidRPr="009859E6" w:rsidRDefault="0011707A">
      <w:pPr>
        <w:rPr>
          <w:rFonts w:ascii="Open Sans Light" w:hAnsi="Open Sans Light"/>
          <w:color w:val="93BA85"/>
          <w:sz w:val="20"/>
          <w:szCs w:val="20"/>
          <w:lang w:val="en-GB"/>
        </w:rPr>
      </w:pPr>
      <w:r w:rsidRPr="009859E6">
        <w:rPr>
          <w:rFonts w:ascii="Open Sans Light" w:hAnsi="Open Sans Light"/>
          <w:color w:val="93BA85"/>
          <w:sz w:val="20"/>
          <w:szCs w:val="20"/>
          <w:lang w:val="en-GB"/>
        </w:rPr>
        <w:t xml:space="preserve"> </w:t>
      </w:r>
    </w:p>
    <w:p w14:paraId="0BFF9920" w14:textId="77777777" w:rsidR="0011707A" w:rsidRPr="009859E6" w:rsidRDefault="0011707A" w:rsidP="0011707A">
      <w:pPr>
        <w:rPr>
          <w:rFonts w:ascii="Open Sans Light" w:hAnsi="Open Sans Light"/>
          <w:sz w:val="20"/>
          <w:szCs w:val="20"/>
          <w:lang w:val="en-GB"/>
        </w:rPr>
      </w:pPr>
    </w:p>
    <w:p w14:paraId="39884062" w14:textId="67A217FF" w:rsidR="0011707A" w:rsidRPr="009859E6" w:rsidRDefault="0011707A" w:rsidP="0011707A">
      <w:pPr>
        <w:rPr>
          <w:rFonts w:ascii="Open Sans Light" w:hAnsi="Open Sans Light"/>
          <w:sz w:val="20"/>
          <w:szCs w:val="20"/>
          <w:lang w:val="en-GB"/>
        </w:rPr>
      </w:pPr>
    </w:p>
    <w:p w14:paraId="0C1F70C9" w14:textId="77777777" w:rsidR="004D4A2D" w:rsidRPr="009859E6" w:rsidRDefault="004D4A2D" w:rsidP="004D4A2D">
      <w:pPr>
        <w:tabs>
          <w:tab w:val="left" w:pos="973"/>
        </w:tabs>
        <w:rPr>
          <w:rFonts w:ascii="Open Sans Regular" w:hAnsi="Open Sans Regular"/>
          <w:sz w:val="20"/>
          <w:szCs w:val="16"/>
          <w:lang w:val="en-GB"/>
        </w:rPr>
      </w:pPr>
      <w:r w:rsidRPr="009859E6">
        <w:rPr>
          <w:rFonts w:ascii="Open Sans Regular" w:hAnsi="Open Sans Regular"/>
          <w:sz w:val="20"/>
          <w:szCs w:val="16"/>
          <w:lang w:val="en-GB"/>
        </w:rPr>
        <w:tab/>
      </w:r>
    </w:p>
    <w:tbl>
      <w:tblPr>
        <w:tblStyle w:val="TableGrid"/>
        <w:tblW w:w="0" w:type="auto"/>
        <w:tblInd w:w="468" w:type="dxa"/>
        <w:shd w:val="clear" w:color="auto" w:fill="D6E3BC" w:themeFill="accent3" w:themeFillTint="66"/>
        <w:tblLook w:val="04A0" w:firstRow="1" w:lastRow="0" w:firstColumn="1" w:lastColumn="0" w:noHBand="0" w:noVBand="1"/>
      </w:tblPr>
      <w:tblGrid>
        <w:gridCol w:w="4950"/>
        <w:gridCol w:w="5022"/>
      </w:tblGrid>
      <w:tr w:rsidR="004D4A2D" w:rsidRPr="004D4A2D" w14:paraId="09EC787B" w14:textId="77777777" w:rsidTr="00C2067F">
        <w:trPr>
          <w:trHeight w:val="602"/>
        </w:trPr>
        <w:tc>
          <w:tcPr>
            <w:tcW w:w="4950" w:type="dxa"/>
            <w:shd w:val="clear" w:color="auto" w:fill="D6E3BC" w:themeFill="accent3" w:themeFillTint="66"/>
            <w:vAlign w:val="center"/>
          </w:tcPr>
          <w:p w14:paraId="43DD3FB5" w14:textId="0869615C" w:rsidR="004D4A2D" w:rsidRPr="009859E6" w:rsidRDefault="002D5606" w:rsidP="00B90489">
            <w:pPr>
              <w:tabs>
                <w:tab w:val="left" w:pos="973"/>
              </w:tabs>
              <w:jc w:val="center"/>
              <w:rPr>
                <w:rFonts w:ascii="Open Sans Light" w:hAnsi="Open Sans Light"/>
                <w:sz w:val="20"/>
                <w:szCs w:val="16"/>
                <w:lang w:val="en-GB"/>
              </w:rPr>
            </w:pPr>
            <w:r>
              <w:rPr>
                <w:rFonts w:ascii="Open Sans Light" w:hAnsi="Open Sans Light"/>
                <w:sz w:val="20"/>
                <w:szCs w:val="16"/>
                <w:lang w:val="en-GB"/>
              </w:rPr>
              <w:t>6C</w:t>
            </w:r>
            <w:r w:rsidR="004D4A2D" w:rsidRPr="009859E6">
              <w:rPr>
                <w:rFonts w:ascii="Open Sans Light" w:hAnsi="Open Sans Light"/>
                <w:sz w:val="20"/>
                <w:szCs w:val="16"/>
                <w:lang w:val="en-GB"/>
              </w:rPr>
              <w:t xml:space="preserve"> Final Score</w:t>
            </w:r>
          </w:p>
        </w:tc>
        <w:tc>
          <w:tcPr>
            <w:tcW w:w="5022" w:type="dxa"/>
            <w:shd w:val="clear" w:color="auto" w:fill="EAF1DD" w:themeFill="accent3" w:themeFillTint="33"/>
            <w:vAlign w:val="center"/>
          </w:tcPr>
          <w:p w14:paraId="19E1E3CA" w14:textId="5F1DE4D1" w:rsidR="004D4A2D" w:rsidRPr="004D4A2D" w:rsidRDefault="004D4A2D" w:rsidP="004D4A2D">
            <w:pPr>
              <w:tabs>
                <w:tab w:val="left" w:pos="973"/>
              </w:tabs>
              <w:jc w:val="center"/>
              <w:rPr>
                <w:rFonts w:ascii="Open Sans Light" w:hAnsi="Open Sans Light"/>
                <w:sz w:val="20"/>
                <w:szCs w:val="16"/>
                <w:lang w:val="en-GB"/>
              </w:rPr>
            </w:pPr>
            <w:r w:rsidRPr="009859E6">
              <w:rPr>
                <w:rFonts w:ascii="Open Sans Light" w:hAnsi="Open Sans Light"/>
                <w:sz w:val="20"/>
                <w:szCs w:val="16"/>
                <w:lang w:val="en-GB"/>
              </w:rPr>
              <w:t>0-100</w:t>
            </w:r>
          </w:p>
        </w:tc>
      </w:tr>
    </w:tbl>
    <w:p w14:paraId="5F03574E" w14:textId="0F8C1572" w:rsidR="00982775" w:rsidRDefault="00982775" w:rsidP="004D4A2D">
      <w:pPr>
        <w:tabs>
          <w:tab w:val="left" w:pos="973"/>
        </w:tabs>
        <w:rPr>
          <w:rFonts w:ascii="Open Sans Regular" w:hAnsi="Open Sans Regular"/>
          <w:sz w:val="20"/>
          <w:szCs w:val="16"/>
          <w:lang w:val="en-GB"/>
        </w:rPr>
      </w:pPr>
    </w:p>
    <w:p w14:paraId="1E394625" w14:textId="77777777" w:rsidR="00982775" w:rsidRDefault="00982775" w:rsidP="00982775">
      <w:pPr>
        <w:rPr>
          <w:rFonts w:ascii="Open Sans Regular" w:hAnsi="Open Sans Regular"/>
          <w:sz w:val="20"/>
          <w:szCs w:val="16"/>
          <w:lang w:val="en-GB"/>
        </w:rPr>
      </w:pPr>
    </w:p>
    <w:p w14:paraId="1644C81E" w14:textId="77777777" w:rsidR="00982775" w:rsidRDefault="00982775" w:rsidP="00982775">
      <w:pPr>
        <w:rPr>
          <w:rFonts w:ascii="Open Sans Regular" w:hAnsi="Open Sans Regular"/>
          <w:sz w:val="20"/>
          <w:szCs w:val="16"/>
          <w:lang w:val="en-GB"/>
        </w:rPr>
      </w:pPr>
      <w:bookmarkStart w:id="0" w:name="_GoBack"/>
      <w:bookmarkEnd w:id="0"/>
    </w:p>
    <w:p w14:paraId="67BDF618" w14:textId="77777777" w:rsidR="00982775" w:rsidRDefault="00982775" w:rsidP="00982775">
      <w:pPr>
        <w:rPr>
          <w:rFonts w:ascii="Open Sans Regular" w:hAnsi="Open Sans Regular"/>
          <w:sz w:val="20"/>
          <w:szCs w:val="16"/>
          <w:lang w:val="en-GB"/>
        </w:rPr>
      </w:pPr>
    </w:p>
    <w:p w14:paraId="7D96F6B1" w14:textId="77777777" w:rsidR="00982775" w:rsidRDefault="00982775" w:rsidP="00982775">
      <w:pPr>
        <w:rPr>
          <w:rFonts w:ascii="Open Sans Regular" w:hAnsi="Open Sans Regular"/>
          <w:sz w:val="20"/>
          <w:szCs w:val="16"/>
          <w:lang w:val="en-GB"/>
        </w:rPr>
      </w:pPr>
    </w:p>
    <w:p w14:paraId="2382EDCC" w14:textId="77777777" w:rsidR="00982775" w:rsidRDefault="00982775" w:rsidP="00982775">
      <w:pPr>
        <w:rPr>
          <w:rFonts w:ascii="Open Sans Regular" w:hAnsi="Open Sans Regular"/>
          <w:sz w:val="20"/>
          <w:szCs w:val="16"/>
          <w:lang w:val="en-GB"/>
        </w:rPr>
      </w:pPr>
    </w:p>
    <w:p w14:paraId="70E96A92" w14:textId="77777777" w:rsidR="00982775" w:rsidRDefault="00982775" w:rsidP="00982775">
      <w:pPr>
        <w:rPr>
          <w:rFonts w:ascii="Open Sans Regular" w:hAnsi="Open Sans Regular"/>
          <w:sz w:val="20"/>
          <w:szCs w:val="16"/>
          <w:lang w:val="en-GB"/>
        </w:rPr>
      </w:pPr>
    </w:p>
    <w:p w14:paraId="45AA5D79" w14:textId="77777777" w:rsidR="00982775" w:rsidRDefault="00982775" w:rsidP="00982775">
      <w:pPr>
        <w:rPr>
          <w:rFonts w:ascii="Open Sans Regular" w:hAnsi="Open Sans Regular"/>
          <w:sz w:val="20"/>
          <w:szCs w:val="16"/>
          <w:lang w:val="en-GB"/>
        </w:rPr>
      </w:pPr>
    </w:p>
    <w:p w14:paraId="33D0BD4E" w14:textId="77777777" w:rsidR="00982775" w:rsidRDefault="00982775" w:rsidP="00982775">
      <w:pPr>
        <w:rPr>
          <w:rFonts w:ascii="Open Sans Regular" w:hAnsi="Open Sans Regular"/>
          <w:sz w:val="20"/>
          <w:szCs w:val="16"/>
          <w:lang w:val="en-GB"/>
        </w:rPr>
      </w:pPr>
    </w:p>
    <w:p w14:paraId="69FB24B6" w14:textId="77777777" w:rsidR="00982775" w:rsidRDefault="00982775" w:rsidP="00982775">
      <w:pPr>
        <w:rPr>
          <w:rFonts w:ascii="Open Sans Regular" w:hAnsi="Open Sans Regular"/>
          <w:sz w:val="20"/>
          <w:szCs w:val="16"/>
          <w:lang w:val="en-GB"/>
        </w:rPr>
      </w:pPr>
    </w:p>
    <w:p w14:paraId="62BC4FFA" w14:textId="77777777" w:rsidR="00982775" w:rsidRDefault="00982775" w:rsidP="00982775">
      <w:pPr>
        <w:rPr>
          <w:rFonts w:ascii="Open Sans Regular" w:hAnsi="Open Sans Regular"/>
          <w:sz w:val="20"/>
          <w:szCs w:val="16"/>
          <w:lang w:val="en-GB"/>
        </w:rPr>
      </w:pPr>
    </w:p>
    <w:p w14:paraId="6D551F4E" w14:textId="77777777" w:rsidR="00982775" w:rsidRDefault="00982775" w:rsidP="00982775">
      <w:pPr>
        <w:rPr>
          <w:rFonts w:ascii="Open Sans Regular" w:hAnsi="Open Sans Regular"/>
          <w:sz w:val="20"/>
          <w:szCs w:val="16"/>
          <w:lang w:val="en-GB"/>
        </w:rPr>
      </w:pPr>
    </w:p>
    <w:p w14:paraId="507F7464" w14:textId="22598DE4" w:rsidR="00906240" w:rsidRPr="0011707A" w:rsidRDefault="00906240" w:rsidP="0011707A">
      <w:pPr>
        <w:tabs>
          <w:tab w:val="left" w:pos="9360"/>
        </w:tabs>
        <w:rPr>
          <w:rFonts w:ascii="Open Sans Light" w:hAnsi="Open Sans Light"/>
          <w:sz w:val="20"/>
          <w:szCs w:val="20"/>
          <w:lang w:val="en-GB"/>
        </w:rPr>
      </w:pPr>
    </w:p>
    <w:sectPr w:rsidR="00906240" w:rsidRPr="0011707A" w:rsidSect="008002E1">
      <w:pgSz w:w="12240" w:h="15840"/>
      <w:pgMar w:top="1008" w:right="1008" w:bottom="1008" w:left="1008"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5F9FC9" w15:done="0"/>
  <w15:commentEx w15:paraId="00065264" w15:done="0"/>
  <w15:commentEx w15:paraId="2D2F2353" w15:done="0"/>
  <w15:commentEx w15:paraId="4F48FA2C" w15:done="0"/>
  <w15:commentEx w15:paraId="69BB92F9" w15:done="0"/>
  <w15:commentEx w15:paraId="7C382092" w15:done="0"/>
  <w15:commentEx w15:paraId="272F065B" w15:done="0"/>
  <w15:commentEx w15:paraId="2AD2240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40095" w14:textId="77777777" w:rsidR="004D4BC2" w:rsidRDefault="004D4BC2" w:rsidP="00651DDD">
      <w:r>
        <w:separator/>
      </w:r>
    </w:p>
  </w:endnote>
  <w:endnote w:type="continuationSeparator" w:id="0">
    <w:p w14:paraId="44B39BCE" w14:textId="77777777" w:rsidR="004D4BC2" w:rsidRDefault="004D4BC2" w:rsidP="0065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Open Sans Regular">
    <w:panose1 w:val="020B0606030504020204"/>
    <w:charset w:val="00"/>
    <w:family w:val="auto"/>
    <w:pitch w:val="variable"/>
    <w:sig w:usb0="E00002EF" w:usb1="4000205B" w:usb2="00000028" w:usb3="00000000" w:csb0="0000019F" w:csb1="00000000"/>
  </w:font>
  <w:font w:name="Open Sans Bold Italic">
    <w:panose1 w:val="020B0806030504020204"/>
    <w:charset w:val="00"/>
    <w:family w:val="auto"/>
    <w:pitch w:val="variable"/>
    <w:sig w:usb0="E00002EF" w:usb1="4000205B" w:usb2="00000028" w:usb3="00000000" w:csb0="0000019F" w:csb1="00000000"/>
  </w:font>
  <w:font w:name="Open Sans ExtraBold">
    <w:panose1 w:val="020B0906030804020204"/>
    <w:charset w:val="00"/>
    <w:family w:val="auto"/>
    <w:pitch w:val="variable"/>
    <w:sig w:usb0="E00002EF" w:usb1="4000205B" w:usb2="00000028" w:usb3="00000000" w:csb0="0000019F" w:csb1="00000000"/>
  </w:font>
  <w:font w:name="Open Sans Light">
    <w:panose1 w:val="020B0306030504020204"/>
    <w:charset w:val="00"/>
    <w:family w:val="auto"/>
    <w:pitch w:val="variable"/>
    <w:sig w:usb0="E00002EF" w:usb1="4000205B" w:usb2="00000028" w:usb3="00000000" w:csb0="0000019F" w:csb1="00000000"/>
  </w:font>
  <w:font w:name="Open Sans Bold">
    <w:panose1 w:val="020B0806030504020204"/>
    <w:charset w:val="00"/>
    <w:family w:val="auto"/>
    <w:pitch w:val="variable"/>
    <w:sig w:usb0="E00002EF" w:usb1="4000205B" w:usb2="00000028" w:usb3="00000000" w:csb0="0000019F" w:csb1="00000000"/>
  </w:font>
  <w:font w:name="Cambria Math">
    <w:panose1 w:val="02040503050406030204"/>
    <w:charset w:val="00"/>
    <w:family w:val="auto"/>
    <w:pitch w:val="variable"/>
    <w:sig w:usb0="E00002FF" w:usb1="42002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FCA5B" w14:textId="77777777" w:rsidR="004D4BC2" w:rsidRDefault="004D4BC2" w:rsidP="00651DDD">
      <w:r>
        <w:separator/>
      </w:r>
    </w:p>
  </w:footnote>
  <w:footnote w:type="continuationSeparator" w:id="0">
    <w:p w14:paraId="62C0762A" w14:textId="77777777" w:rsidR="004D4BC2" w:rsidRDefault="004D4BC2" w:rsidP="00651DD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63AD4"/>
    <w:multiLevelType w:val="hybridMultilevel"/>
    <w:tmpl w:val="4D26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E5D0B"/>
    <w:multiLevelType w:val="hybridMultilevel"/>
    <w:tmpl w:val="92B6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C023CE"/>
    <w:multiLevelType w:val="hybridMultilevel"/>
    <w:tmpl w:val="BE38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08129A"/>
    <w:multiLevelType w:val="hybridMultilevel"/>
    <w:tmpl w:val="84C4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9622C9"/>
    <w:multiLevelType w:val="hybridMultilevel"/>
    <w:tmpl w:val="746CC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5E0BB1"/>
    <w:multiLevelType w:val="hybridMultilevel"/>
    <w:tmpl w:val="9402B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D16881"/>
    <w:multiLevelType w:val="hybridMultilevel"/>
    <w:tmpl w:val="EC04E2FA"/>
    <w:lvl w:ilvl="0" w:tplc="7D14FF82">
      <w:start w:val="5"/>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5BF1037D"/>
    <w:multiLevelType w:val="hybridMultilevel"/>
    <w:tmpl w:val="09763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7D5B3B"/>
    <w:multiLevelType w:val="hybridMultilevel"/>
    <w:tmpl w:val="CE6C8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C220D0"/>
    <w:multiLevelType w:val="hybridMultilevel"/>
    <w:tmpl w:val="8B68B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2A3993"/>
    <w:multiLevelType w:val="hybridMultilevel"/>
    <w:tmpl w:val="446E8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752E38"/>
    <w:multiLevelType w:val="hybridMultilevel"/>
    <w:tmpl w:val="A2E4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F80517"/>
    <w:multiLevelType w:val="hybridMultilevel"/>
    <w:tmpl w:val="D3B8F7D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69C87E3A"/>
    <w:multiLevelType w:val="hybridMultilevel"/>
    <w:tmpl w:val="9FFAD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5B656E"/>
    <w:multiLevelType w:val="hybridMultilevel"/>
    <w:tmpl w:val="ECC03D0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71744C7F"/>
    <w:multiLevelType w:val="hybridMultilevel"/>
    <w:tmpl w:val="EC74E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1D0913"/>
    <w:multiLevelType w:val="hybridMultilevel"/>
    <w:tmpl w:val="39444F58"/>
    <w:lvl w:ilvl="0" w:tplc="1590AE82">
      <w:numFmt w:val="bullet"/>
      <w:lvlText w:val="•"/>
      <w:lvlJc w:val="left"/>
      <w:pPr>
        <w:ind w:left="990" w:hanging="63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E8805A4"/>
    <w:multiLevelType w:val="hybridMultilevel"/>
    <w:tmpl w:val="3E2442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5"/>
  </w:num>
  <w:num w:numId="3">
    <w:abstractNumId w:val="8"/>
  </w:num>
  <w:num w:numId="4">
    <w:abstractNumId w:val="0"/>
  </w:num>
  <w:num w:numId="5">
    <w:abstractNumId w:val="3"/>
  </w:num>
  <w:num w:numId="6">
    <w:abstractNumId w:val="11"/>
  </w:num>
  <w:num w:numId="7">
    <w:abstractNumId w:val="2"/>
  </w:num>
  <w:num w:numId="8">
    <w:abstractNumId w:val="9"/>
  </w:num>
  <w:num w:numId="9">
    <w:abstractNumId w:val="16"/>
  </w:num>
  <w:num w:numId="10">
    <w:abstractNumId w:val="13"/>
  </w:num>
  <w:num w:numId="11">
    <w:abstractNumId w:val="7"/>
  </w:num>
  <w:num w:numId="12">
    <w:abstractNumId w:val="15"/>
  </w:num>
  <w:num w:numId="13">
    <w:abstractNumId w:val="4"/>
  </w:num>
  <w:num w:numId="14">
    <w:abstractNumId w:val="1"/>
  </w:num>
  <w:num w:numId="15">
    <w:abstractNumId w:val="10"/>
  </w:num>
  <w:num w:numId="16">
    <w:abstractNumId w:val="6"/>
  </w:num>
  <w:num w:numId="17">
    <w:abstractNumId w:val="14"/>
  </w:num>
  <w:num w:numId="1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rtres, ReneeLouise (ESP)">
    <w15:presenceInfo w15:providerId="AD" w15:userId="S-1-5-21-2107199734-1002509562-578033828-93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21"/>
    <w:rsid w:val="00002F74"/>
    <w:rsid w:val="000423E2"/>
    <w:rsid w:val="0006761B"/>
    <w:rsid w:val="00080737"/>
    <w:rsid w:val="00090E82"/>
    <w:rsid w:val="000A29D8"/>
    <w:rsid w:val="000A62F8"/>
    <w:rsid w:val="000C3CD9"/>
    <w:rsid w:val="000D5C74"/>
    <w:rsid w:val="000D60BF"/>
    <w:rsid w:val="000E2C34"/>
    <w:rsid w:val="0011707A"/>
    <w:rsid w:val="00117C68"/>
    <w:rsid w:val="00127327"/>
    <w:rsid w:val="00134704"/>
    <w:rsid w:val="00142748"/>
    <w:rsid w:val="00146B80"/>
    <w:rsid w:val="00150C79"/>
    <w:rsid w:val="00153B75"/>
    <w:rsid w:val="001716E0"/>
    <w:rsid w:val="001813CE"/>
    <w:rsid w:val="00194BC8"/>
    <w:rsid w:val="001A2A30"/>
    <w:rsid w:val="001A5A2D"/>
    <w:rsid w:val="001A7F74"/>
    <w:rsid w:val="001B1A5A"/>
    <w:rsid w:val="001C18B0"/>
    <w:rsid w:val="001D4DA0"/>
    <w:rsid w:val="001F1A16"/>
    <w:rsid w:val="0020031D"/>
    <w:rsid w:val="00214658"/>
    <w:rsid w:val="00216F45"/>
    <w:rsid w:val="002171F1"/>
    <w:rsid w:val="0022154D"/>
    <w:rsid w:val="00227E00"/>
    <w:rsid w:val="00251609"/>
    <w:rsid w:val="002A3391"/>
    <w:rsid w:val="002A3AE0"/>
    <w:rsid w:val="002B17B6"/>
    <w:rsid w:val="002D0EB5"/>
    <w:rsid w:val="002D5606"/>
    <w:rsid w:val="002D685A"/>
    <w:rsid w:val="002F1D1F"/>
    <w:rsid w:val="00303E2E"/>
    <w:rsid w:val="003143CE"/>
    <w:rsid w:val="003160FE"/>
    <w:rsid w:val="00354025"/>
    <w:rsid w:val="00361F13"/>
    <w:rsid w:val="003631AB"/>
    <w:rsid w:val="00377E8A"/>
    <w:rsid w:val="00391D42"/>
    <w:rsid w:val="003B0090"/>
    <w:rsid w:val="003B5619"/>
    <w:rsid w:val="003B5C1E"/>
    <w:rsid w:val="003D1518"/>
    <w:rsid w:val="003D5F77"/>
    <w:rsid w:val="003E41FC"/>
    <w:rsid w:val="003E5586"/>
    <w:rsid w:val="004031A5"/>
    <w:rsid w:val="00410F2B"/>
    <w:rsid w:val="00412488"/>
    <w:rsid w:val="004158F4"/>
    <w:rsid w:val="00416D97"/>
    <w:rsid w:val="00422558"/>
    <w:rsid w:val="00437C4D"/>
    <w:rsid w:val="00444693"/>
    <w:rsid w:val="00444CB0"/>
    <w:rsid w:val="0045635B"/>
    <w:rsid w:val="00456534"/>
    <w:rsid w:val="00473FF7"/>
    <w:rsid w:val="00476F71"/>
    <w:rsid w:val="004A7F8D"/>
    <w:rsid w:val="004D4A2D"/>
    <w:rsid w:val="004D4BC2"/>
    <w:rsid w:val="004E7FB8"/>
    <w:rsid w:val="004F5BC3"/>
    <w:rsid w:val="00524968"/>
    <w:rsid w:val="00524A30"/>
    <w:rsid w:val="00531006"/>
    <w:rsid w:val="00553DBC"/>
    <w:rsid w:val="005716B6"/>
    <w:rsid w:val="005817E2"/>
    <w:rsid w:val="005859FB"/>
    <w:rsid w:val="00590EA7"/>
    <w:rsid w:val="005A0553"/>
    <w:rsid w:val="005A30A9"/>
    <w:rsid w:val="005A572E"/>
    <w:rsid w:val="005A592F"/>
    <w:rsid w:val="005A6894"/>
    <w:rsid w:val="005A796C"/>
    <w:rsid w:val="005C3D7D"/>
    <w:rsid w:val="005C7D41"/>
    <w:rsid w:val="005D4ADB"/>
    <w:rsid w:val="00613071"/>
    <w:rsid w:val="00615C8C"/>
    <w:rsid w:val="00620367"/>
    <w:rsid w:val="00620EDF"/>
    <w:rsid w:val="00622C79"/>
    <w:rsid w:val="00640406"/>
    <w:rsid w:val="0064321F"/>
    <w:rsid w:val="00651DDD"/>
    <w:rsid w:val="0069084F"/>
    <w:rsid w:val="00692407"/>
    <w:rsid w:val="00694498"/>
    <w:rsid w:val="006A1514"/>
    <w:rsid w:val="006B4F8D"/>
    <w:rsid w:val="006C2152"/>
    <w:rsid w:val="006D43C2"/>
    <w:rsid w:val="006F30A9"/>
    <w:rsid w:val="006F5690"/>
    <w:rsid w:val="00700E29"/>
    <w:rsid w:val="007037C1"/>
    <w:rsid w:val="007201A9"/>
    <w:rsid w:val="00741893"/>
    <w:rsid w:val="007517B8"/>
    <w:rsid w:val="00761AB0"/>
    <w:rsid w:val="007810D4"/>
    <w:rsid w:val="0079740F"/>
    <w:rsid w:val="007A1CEF"/>
    <w:rsid w:val="007A3A07"/>
    <w:rsid w:val="007B033D"/>
    <w:rsid w:val="007B279C"/>
    <w:rsid w:val="007B548A"/>
    <w:rsid w:val="007E24A8"/>
    <w:rsid w:val="007E2FD4"/>
    <w:rsid w:val="008002E1"/>
    <w:rsid w:val="0080391F"/>
    <w:rsid w:val="00810B8B"/>
    <w:rsid w:val="00817730"/>
    <w:rsid w:val="00822EAB"/>
    <w:rsid w:val="008524D4"/>
    <w:rsid w:val="00863E29"/>
    <w:rsid w:val="00895D36"/>
    <w:rsid w:val="008A0080"/>
    <w:rsid w:val="008A0B1E"/>
    <w:rsid w:val="008B1FFA"/>
    <w:rsid w:val="008C72A2"/>
    <w:rsid w:val="008D255D"/>
    <w:rsid w:val="008E5D57"/>
    <w:rsid w:val="00906240"/>
    <w:rsid w:val="0090748F"/>
    <w:rsid w:val="00910D9E"/>
    <w:rsid w:val="009450F7"/>
    <w:rsid w:val="009509D1"/>
    <w:rsid w:val="00982775"/>
    <w:rsid w:val="009859E6"/>
    <w:rsid w:val="009877E1"/>
    <w:rsid w:val="009D0F26"/>
    <w:rsid w:val="009E2A33"/>
    <w:rsid w:val="00A14AA5"/>
    <w:rsid w:val="00A17D1B"/>
    <w:rsid w:val="00A20E4B"/>
    <w:rsid w:val="00A22662"/>
    <w:rsid w:val="00A228F1"/>
    <w:rsid w:val="00A5617B"/>
    <w:rsid w:val="00A621D7"/>
    <w:rsid w:val="00A64788"/>
    <w:rsid w:val="00A70CB9"/>
    <w:rsid w:val="00A974E8"/>
    <w:rsid w:val="00AD0597"/>
    <w:rsid w:val="00AF5E0D"/>
    <w:rsid w:val="00B3290D"/>
    <w:rsid w:val="00B41B1E"/>
    <w:rsid w:val="00B45963"/>
    <w:rsid w:val="00B65223"/>
    <w:rsid w:val="00B73CCE"/>
    <w:rsid w:val="00B768FC"/>
    <w:rsid w:val="00B86D4D"/>
    <w:rsid w:val="00B90489"/>
    <w:rsid w:val="00B974E9"/>
    <w:rsid w:val="00BA6A1C"/>
    <w:rsid w:val="00C03116"/>
    <w:rsid w:val="00C2067F"/>
    <w:rsid w:val="00C37102"/>
    <w:rsid w:val="00C418A9"/>
    <w:rsid w:val="00C42D95"/>
    <w:rsid w:val="00C47B52"/>
    <w:rsid w:val="00C530B0"/>
    <w:rsid w:val="00C551B6"/>
    <w:rsid w:val="00C57804"/>
    <w:rsid w:val="00C610C9"/>
    <w:rsid w:val="00C66ECE"/>
    <w:rsid w:val="00C80F4F"/>
    <w:rsid w:val="00C90EC2"/>
    <w:rsid w:val="00CD2CC8"/>
    <w:rsid w:val="00CF601B"/>
    <w:rsid w:val="00D0552D"/>
    <w:rsid w:val="00D158E3"/>
    <w:rsid w:val="00D22865"/>
    <w:rsid w:val="00D31AD8"/>
    <w:rsid w:val="00D323DE"/>
    <w:rsid w:val="00D32A7A"/>
    <w:rsid w:val="00D45777"/>
    <w:rsid w:val="00D500F3"/>
    <w:rsid w:val="00D504F6"/>
    <w:rsid w:val="00D60429"/>
    <w:rsid w:val="00D716A5"/>
    <w:rsid w:val="00D8246B"/>
    <w:rsid w:val="00DA1446"/>
    <w:rsid w:val="00DA7E5D"/>
    <w:rsid w:val="00DC712A"/>
    <w:rsid w:val="00E00CCF"/>
    <w:rsid w:val="00E12E99"/>
    <w:rsid w:val="00E25C77"/>
    <w:rsid w:val="00E26901"/>
    <w:rsid w:val="00E35FFB"/>
    <w:rsid w:val="00E404EF"/>
    <w:rsid w:val="00E4328A"/>
    <w:rsid w:val="00E55321"/>
    <w:rsid w:val="00E65D70"/>
    <w:rsid w:val="00E66B92"/>
    <w:rsid w:val="00EA0202"/>
    <w:rsid w:val="00EA664E"/>
    <w:rsid w:val="00EB6686"/>
    <w:rsid w:val="00EE090A"/>
    <w:rsid w:val="00EE6F94"/>
    <w:rsid w:val="00EF71D2"/>
    <w:rsid w:val="00F13AD4"/>
    <w:rsid w:val="00F309F4"/>
    <w:rsid w:val="00F3554F"/>
    <w:rsid w:val="00F743AF"/>
    <w:rsid w:val="00F81F49"/>
    <w:rsid w:val="00F915E2"/>
    <w:rsid w:val="00F96DF0"/>
    <w:rsid w:val="00FA150C"/>
    <w:rsid w:val="00FA31E5"/>
    <w:rsid w:val="00FD0B9B"/>
    <w:rsid w:val="00FD27EE"/>
    <w:rsid w:val="00FD680E"/>
    <w:rsid w:val="00FD7DF2"/>
    <w:rsid w:val="00FE0F28"/>
    <w:rsid w:val="00FF2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FBB2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151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A15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1773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906240"/>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5321"/>
    <w:pPr>
      <w:ind w:left="720"/>
      <w:contextualSpacing/>
    </w:pPr>
  </w:style>
  <w:style w:type="character" w:styleId="Hyperlink">
    <w:name w:val="Hyperlink"/>
    <w:basedOn w:val="DefaultParagraphFont"/>
    <w:uiPriority w:val="99"/>
    <w:unhideWhenUsed/>
    <w:rsid w:val="00C57804"/>
    <w:rPr>
      <w:color w:val="0000FF" w:themeColor="hyperlink"/>
      <w:u w:val="single"/>
    </w:rPr>
  </w:style>
  <w:style w:type="paragraph" w:styleId="Title">
    <w:name w:val="Title"/>
    <w:basedOn w:val="Normal"/>
    <w:next w:val="Normal"/>
    <w:link w:val="TitleChar"/>
    <w:uiPriority w:val="10"/>
    <w:qFormat/>
    <w:rsid w:val="006A15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151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A151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A1514"/>
    <w:rPr>
      <w:rFonts w:asciiTheme="majorHAnsi" w:eastAsiaTheme="majorEastAsia" w:hAnsiTheme="majorHAnsi" w:cstheme="majorBidi"/>
      <w:b/>
      <w:bCs/>
      <w:color w:val="4F81BD" w:themeColor="accent1"/>
      <w:sz w:val="26"/>
      <w:szCs w:val="26"/>
    </w:rPr>
  </w:style>
  <w:style w:type="table" w:styleId="MediumGrid3-Accent5">
    <w:name w:val="Medium Grid 3 Accent 5"/>
    <w:basedOn w:val="TableNormal"/>
    <w:uiPriority w:val="69"/>
    <w:rsid w:val="005859F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2-Accent6">
    <w:name w:val="Medium Grid 2 Accent 6"/>
    <w:basedOn w:val="TableNormal"/>
    <w:uiPriority w:val="68"/>
    <w:rsid w:val="005859FB"/>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5859FB"/>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
    <w:name w:val="Medium Grid 1"/>
    <w:basedOn w:val="TableNormal"/>
    <w:uiPriority w:val="67"/>
    <w:rsid w:val="00E66B9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rsid w:val="00E66B9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rsid w:val="00E66B9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rsid w:val="00E66B9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rsid w:val="00E66B9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E66B9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E66B9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E66B9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basedOn w:val="DefaultParagraphFont"/>
    <w:link w:val="Heading5"/>
    <w:uiPriority w:val="9"/>
    <w:rsid w:val="00906240"/>
    <w:rPr>
      <w:rFonts w:ascii="Times" w:hAnsi="Times"/>
      <w:b/>
      <w:bCs/>
      <w:sz w:val="20"/>
      <w:szCs w:val="20"/>
    </w:rPr>
  </w:style>
  <w:style w:type="paragraph" w:customStyle="1" w:styleId="bodytext">
    <w:name w:val="bodytext"/>
    <w:basedOn w:val="Normal"/>
    <w:rsid w:val="00906240"/>
    <w:pPr>
      <w:spacing w:before="100" w:beforeAutospacing="1" w:after="100" w:afterAutospacing="1"/>
    </w:pPr>
    <w:rPr>
      <w:rFonts w:ascii="Times" w:hAnsi="Times"/>
      <w:sz w:val="20"/>
      <w:szCs w:val="20"/>
    </w:rPr>
  </w:style>
  <w:style w:type="table" w:styleId="LightShading-Accent5">
    <w:name w:val="Light Shading Accent 5"/>
    <w:basedOn w:val="TableNormal"/>
    <w:uiPriority w:val="60"/>
    <w:rsid w:val="0090624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1A7F74"/>
    <w:rPr>
      <w:color w:val="808080"/>
    </w:rPr>
  </w:style>
  <w:style w:type="paragraph" w:styleId="BalloonText">
    <w:name w:val="Balloon Text"/>
    <w:basedOn w:val="Normal"/>
    <w:link w:val="BalloonTextChar"/>
    <w:uiPriority w:val="99"/>
    <w:semiHidden/>
    <w:unhideWhenUsed/>
    <w:rsid w:val="001A7F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F74"/>
    <w:rPr>
      <w:rFonts w:ascii="Lucida Grande" w:hAnsi="Lucida Grande" w:cs="Lucida Grande"/>
      <w:sz w:val="18"/>
      <w:szCs w:val="18"/>
    </w:rPr>
  </w:style>
  <w:style w:type="character" w:styleId="CommentReference">
    <w:name w:val="annotation reference"/>
    <w:basedOn w:val="DefaultParagraphFont"/>
    <w:uiPriority w:val="99"/>
    <w:semiHidden/>
    <w:unhideWhenUsed/>
    <w:rsid w:val="0020031D"/>
    <w:rPr>
      <w:sz w:val="16"/>
      <w:szCs w:val="16"/>
    </w:rPr>
  </w:style>
  <w:style w:type="paragraph" w:styleId="CommentText">
    <w:name w:val="annotation text"/>
    <w:basedOn w:val="Normal"/>
    <w:link w:val="CommentTextChar"/>
    <w:uiPriority w:val="99"/>
    <w:semiHidden/>
    <w:unhideWhenUsed/>
    <w:rsid w:val="0020031D"/>
    <w:rPr>
      <w:sz w:val="20"/>
      <w:szCs w:val="20"/>
    </w:rPr>
  </w:style>
  <w:style w:type="character" w:customStyle="1" w:styleId="CommentTextChar">
    <w:name w:val="Comment Text Char"/>
    <w:basedOn w:val="DefaultParagraphFont"/>
    <w:link w:val="CommentText"/>
    <w:uiPriority w:val="99"/>
    <w:semiHidden/>
    <w:rsid w:val="0020031D"/>
    <w:rPr>
      <w:sz w:val="20"/>
      <w:szCs w:val="20"/>
    </w:rPr>
  </w:style>
  <w:style w:type="paragraph" w:styleId="CommentSubject">
    <w:name w:val="annotation subject"/>
    <w:basedOn w:val="CommentText"/>
    <w:next w:val="CommentText"/>
    <w:link w:val="CommentSubjectChar"/>
    <w:uiPriority w:val="99"/>
    <w:semiHidden/>
    <w:unhideWhenUsed/>
    <w:rsid w:val="0020031D"/>
    <w:rPr>
      <w:b/>
      <w:bCs/>
    </w:rPr>
  </w:style>
  <w:style w:type="character" w:customStyle="1" w:styleId="CommentSubjectChar">
    <w:name w:val="Comment Subject Char"/>
    <w:basedOn w:val="CommentTextChar"/>
    <w:link w:val="CommentSubject"/>
    <w:uiPriority w:val="99"/>
    <w:semiHidden/>
    <w:rsid w:val="0020031D"/>
    <w:rPr>
      <w:b/>
      <w:bCs/>
      <w:sz w:val="20"/>
      <w:szCs w:val="20"/>
    </w:rPr>
  </w:style>
  <w:style w:type="character" w:customStyle="1" w:styleId="Heading3Char">
    <w:name w:val="Heading 3 Char"/>
    <w:basedOn w:val="DefaultParagraphFont"/>
    <w:link w:val="Heading3"/>
    <w:uiPriority w:val="9"/>
    <w:semiHidden/>
    <w:rsid w:val="00817730"/>
    <w:rPr>
      <w:rFonts w:asciiTheme="majorHAnsi" w:eastAsiaTheme="majorEastAsia" w:hAnsiTheme="majorHAnsi" w:cstheme="majorBidi"/>
      <w:b/>
      <w:bCs/>
      <w:color w:val="4F81BD" w:themeColor="accent1"/>
    </w:rPr>
  </w:style>
  <w:style w:type="table" w:styleId="LightList-Accent5">
    <w:name w:val="Light List Accent 5"/>
    <w:basedOn w:val="TableNormal"/>
    <w:uiPriority w:val="61"/>
    <w:rsid w:val="00FD680E"/>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Header">
    <w:name w:val="header"/>
    <w:basedOn w:val="Normal"/>
    <w:link w:val="HeaderChar"/>
    <w:uiPriority w:val="99"/>
    <w:unhideWhenUsed/>
    <w:rsid w:val="00651DDD"/>
    <w:pPr>
      <w:tabs>
        <w:tab w:val="center" w:pos="4320"/>
        <w:tab w:val="right" w:pos="8640"/>
      </w:tabs>
    </w:pPr>
  </w:style>
  <w:style w:type="character" w:customStyle="1" w:styleId="HeaderChar">
    <w:name w:val="Header Char"/>
    <w:basedOn w:val="DefaultParagraphFont"/>
    <w:link w:val="Header"/>
    <w:uiPriority w:val="99"/>
    <w:rsid w:val="00651DDD"/>
  </w:style>
  <w:style w:type="paragraph" w:styleId="Footer">
    <w:name w:val="footer"/>
    <w:basedOn w:val="Normal"/>
    <w:link w:val="FooterChar"/>
    <w:uiPriority w:val="99"/>
    <w:unhideWhenUsed/>
    <w:rsid w:val="00651DDD"/>
    <w:pPr>
      <w:tabs>
        <w:tab w:val="center" w:pos="4320"/>
        <w:tab w:val="right" w:pos="8640"/>
      </w:tabs>
    </w:pPr>
  </w:style>
  <w:style w:type="character" w:customStyle="1" w:styleId="FooterChar">
    <w:name w:val="Footer Char"/>
    <w:basedOn w:val="DefaultParagraphFont"/>
    <w:link w:val="Footer"/>
    <w:uiPriority w:val="99"/>
    <w:rsid w:val="00651DDD"/>
  </w:style>
  <w:style w:type="character" w:styleId="FollowedHyperlink">
    <w:name w:val="FollowedHyperlink"/>
    <w:basedOn w:val="DefaultParagraphFont"/>
    <w:uiPriority w:val="99"/>
    <w:semiHidden/>
    <w:unhideWhenUsed/>
    <w:rsid w:val="00692407"/>
    <w:rPr>
      <w:color w:val="800080" w:themeColor="followedHyperlink"/>
      <w:u w:val="single"/>
    </w:rPr>
  </w:style>
  <w:style w:type="paragraph" w:styleId="FootnoteText">
    <w:name w:val="footnote text"/>
    <w:basedOn w:val="Normal"/>
    <w:link w:val="FootnoteTextChar"/>
    <w:uiPriority w:val="99"/>
    <w:semiHidden/>
    <w:unhideWhenUsed/>
    <w:rsid w:val="005716B6"/>
  </w:style>
  <w:style w:type="character" w:customStyle="1" w:styleId="FootnoteTextChar">
    <w:name w:val="Footnote Text Char"/>
    <w:basedOn w:val="DefaultParagraphFont"/>
    <w:link w:val="FootnoteText"/>
    <w:uiPriority w:val="99"/>
    <w:semiHidden/>
    <w:rsid w:val="005716B6"/>
  </w:style>
  <w:style w:type="character" w:styleId="FootnoteReference">
    <w:name w:val="footnote reference"/>
    <w:basedOn w:val="DefaultParagraphFont"/>
    <w:uiPriority w:val="99"/>
    <w:semiHidden/>
    <w:unhideWhenUsed/>
    <w:rsid w:val="005716B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151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A15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1773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906240"/>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5321"/>
    <w:pPr>
      <w:ind w:left="720"/>
      <w:contextualSpacing/>
    </w:pPr>
  </w:style>
  <w:style w:type="character" w:styleId="Hyperlink">
    <w:name w:val="Hyperlink"/>
    <w:basedOn w:val="DefaultParagraphFont"/>
    <w:uiPriority w:val="99"/>
    <w:unhideWhenUsed/>
    <w:rsid w:val="00C57804"/>
    <w:rPr>
      <w:color w:val="0000FF" w:themeColor="hyperlink"/>
      <w:u w:val="single"/>
    </w:rPr>
  </w:style>
  <w:style w:type="paragraph" w:styleId="Title">
    <w:name w:val="Title"/>
    <w:basedOn w:val="Normal"/>
    <w:next w:val="Normal"/>
    <w:link w:val="TitleChar"/>
    <w:uiPriority w:val="10"/>
    <w:qFormat/>
    <w:rsid w:val="006A15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151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A151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A1514"/>
    <w:rPr>
      <w:rFonts w:asciiTheme="majorHAnsi" w:eastAsiaTheme="majorEastAsia" w:hAnsiTheme="majorHAnsi" w:cstheme="majorBidi"/>
      <w:b/>
      <w:bCs/>
      <w:color w:val="4F81BD" w:themeColor="accent1"/>
      <w:sz w:val="26"/>
      <w:szCs w:val="26"/>
    </w:rPr>
  </w:style>
  <w:style w:type="table" w:styleId="MediumGrid3-Accent5">
    <w:name w:val="Medium Grid 3 Accent 5"/>
    <w:basedOn w:val="TableNormal"/>
    <w:uiPriority w:val="69"/>
    <w:rsid w:val="005859F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2-Accent6">
    <w:name w:val="Medium Grid 2 Accent 6"/>
    <w:basedOn w:val="TableNormal"/>
    <w:uiPriority w:val="68"/>
    <w:rsid w:val="005859FB"/>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5859FB"/>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
    <w:name w:val="Medium Grid 1"/>
    <w:basedOn w:val="TableNormal"/>
    <w:uiPriority w:val="67"/>
    <w:rsid w:val="00E66B9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rsid w:val="00E66B9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rsid w:val="00E66B9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rsid w:val="00E66B9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rsid w:val="00E66B9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E66B9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E66B9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E66B9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basedOn w:val="DefaultParagraphFont"/>
    <w:link w:val="Heading5"/>
    <w:uiPriority w:val="9"/>
    <w:rsid w:val="00906240"/>
    <w:rPr>
      <w:rFonts w:ascii="Times" w:hAnsi="Times"/>
      <w:b/>
      <w:bCs/>
      <w:sz w:val="20"/>
      <w:szCs w:val="20"/>
    </w:rPr>
  </w:style>
  <w:style w:type="paragraph" w:customStyle="1" w:styleId="bodytext">
    <w:name w:val="bodytext"/>
    <w:basedOn w:val="Normal"/>
    <w:rsid w:val="00906240"/>
    <w:pPr>
      <w:spacing w:before="100" w:beforeAutospacing="1" w:after="100" w:afterAutospacing="1"/>
    </w:pPr>
    <w:rPr>
      <w:rFonts w:ascii="Times" w:hAnsi="Times"/>
      <w:sz w:val="20"/>
      <w:szCs w:val="20"/>
    </w:rPr>
  </w:style>
  <w:style w:type="table" w:styleId="LightShading-Accent5">
    <w:name w:val="Light Shading Accent 5"/>
    <w:basedOn w:val="TableNormal"/>
    <w:uiPriority w:val="60"/>
    <w:rsid w:val="0090624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1A7F74"/>
    <w:rPr>
      <w:color w:val="808080"/>
    </w:rPr>
  </w:style>
  <w:style w:type="paragraph" w:styleId="BalloonText">
    <w:name w:val="Balloon Text"/>
    <w:basedOn w:val="Normal"/>
    <w:link w:val="BalloonTextChar"/>
    <w:uiPriority w:val="99"/>
    <w:semiHidden/>
    <w:unhideWhenUsed/>
    <w:rsid w:val="001A7F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F74"/>
    <w:rPr>
      <w:rFonts w:ascii="Lucida Grande" w:hAnsi="Lucida Grande" w:cs="Lucida Grande"/>
      <w:sz w:val="18"/>
      <w:szCs w:val="18"/>
    </w:rPr>
  </w:style>
  <w:style w:type="character" w:styleId="CommentReference">
    <w:name w:val="annotation reference"/>
    <w:basedOn w:val="DefaultParagraphFont"/>
    <w:uiPriority w:val="99"/>
    <w:semiHidden/>
    <w:unhideWhenUsed/>
    <w:rsid w:val="0020031D"/>
    <w:rPr>
      <w:sz w:val="16"/>
      <w:szCs w:val="16"/>
    </w:rPr>
  </w:style>
  <w:style w:type="paragraph" w:styleId="CommentText">
    <w:name w:val="annotation text"/>
    <w:basedOn w:val="Normal"/>
    <w:link w:val="CommentTextChar"/>
    <w:uiPriority w:val="99"/>
    <w:semiHidden/>
    <w:unhideWhenUsed/>
    <w:rsid w:val="0020031D"/>
    <w:rPr>
      <w:sz w:val="20"/>
      <w:szCs w:val="20"/>
    </w:rPr>
  </w:style>
  <w:style w:type="character" w:customStyle="1" w:styleId="CommentTextChar">
    <w:name w:val="Comment Text Char"/>
    <w:basedOn w:val="DefaultParagraphFont"/>
    <w:link w:val="CommentText"/>
    <w:uiPriority w:val="99"/>
    <w:semiHidden/>
    <w:rsid w:val="0020031D"/>
    <w:rPr>
      <w:sz w:val="20"/>
      <w:szCs w:val="20"/>
    </w:rPr>
  </w:style>
  <w:style w:type="paragraph" w:styleId="CommentSubject">
    <w:name w:val="annotation subject"/>
    <w:basedOn w:val="CommentText"/>
    <w:next w:val="CommentText"/>
    <w:link w:val="CommentSubjectChar"/>
    <w:uiPriority w:val="99"/>
    <w:semiHidden/>
    <w:unhideWhenUsed/>
    <w:rsid w:val="0020031D"/>
    <w:rPr>
      <w:b/>
      <w:bCs/>
    </w:rPr>
  </w:style>
  <w:style w:type="character" w:customStyle="1" w:styleId="CommentSubjectChar">
    <w:name w:val="Comment Subject Char"/>
    <w:basedOn w:val="CommentTextChar"/>
    <w:link w:val="CommentSubject"/>
    <w:uiPriority w:val="99"/>
    <w:semiHidden/>
    <w:rsid w:val="0020031D"/>
    <w:rPr>
      <w:b/>
      <w:bCs/>
      <w:sz w:val="20"/>
      <w:szCs w:val="20"/>
    </w:rPr>
  </w:style>
  <w:style w:type="character" w:customStyle="1" w:styleId="Heading3Char">
    <w:name w:val="Heading 3 Char"/>
    <w:basedOn w:val="DefaultParagraphFont"/>
    <w:link w:val="Heading3"/>
    <w:uiPriority w:val="9"/>
    <w:semiHidden/>
    <w:rsid w:val="00817730"/>
    <w:rPr>
      <w:rFonts w:asciiTheme="majorHAnsi" w:eastAsiaTheme="majorEastAsia" w:hAnsiTheme="majorHAnsi" w:cstheme="majorBidi"/>
      <w:b/>
      <w:bCs/>
      <w:color w:val="4F81BD" w:themeColor="accent1"/>
    </w:rPr>
  </w:style>
  <w:style w:type="table" w:styleId="LightList-Accent5">
    <w:name w:val="Light List Accent 5"/>
    <w:basedOn w:val="TableNormal"/>
    <w:uiPriority w:val="61"/>
    <w:rsid w:val="00FD680E"/>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Header">
    <w:name w:val="header"/>
    <w:basedOn w:val="Normal"/>
    <w:link w:val="HeaderChar"/>
    <w:uiPriority w:val="99"/>
    <w:unhideWhenUsed/>
    <w:rsid w:val="00651DDD"/>
    <w:pPr>
      <w:tabs>
        <w:tab w:val="center" w:pos="4320"/>
        <w:tab w:val="right" w:pos="8640"/>
      </w:tabs>
    </w:pPr>
  </w:style>
  <w:style w:type="character" w:customStyle="1" w:styleId="HeaderChar">
    <w:name w:val="Header Char"/>
    <w:basedOn w:val="DefaultParagraphFont"/>
    <w:link w:val="Header"/>
    <w:uiPriority w:val="99"/>
    <w:rsid w:val="00651DDD"/>
  </w:style>
  <w:style w:type="paragraph" w:styleId="Footer">
    <w:name w:val="footer"/>
    <w:basedOn w:val="Normal"/>
    <w:link w:val="FooterChar"/>
    <w:uiPriority w:val="99"/>
    <w:unhideWhenUsed/>
    <w:rsid w:val="00651DDD"/>
    <w:pPr>
      <w:tabs>
        <w:tab w:val="center" w:pos="4320"/>
        <w:tab w:val="right" w:pos="8640"/>
      </w:tabs>
    </w:pPr>
  </w:style>
  <w:style w:type="character" w:customStyle="1" w:styleId="FooterChar">
    <w:name w:val="Footer Char"/>
    <w:basedOn w:val="DefaultParagraphFont"/>
    <w:link w:val="Footer"/>
    <w:uiPriority w:val="99"/>
    <w:rsid w:val="00651DDD"/>
  </w:style>
  <w:style w:type="character" w:styleId="FollowedHyperlink">
    <w:name w:val="FollowedHyperlink"/>
    <w:basedOn w:val="DefaultParagraphFont"/>
    <w:uiPriority w:val="99"/>
    <w:semiHidden/>
    <w:unhideWhenUsed/>
    <w:rsid w:val="00692407"/>
    <w:rPr>
      <w:color w:val="800080" w:themeColor="followedHyperlink"/>
      <w:u w:val="single"/>
    </w:rPr>
  </w:style>
  <w:style w:type="paragraph" w:styleId="FootnoteText">
    <w:name w:val="footnote text"/>
    <w:basedOn w:val="Normal"/>
    <w:link w:val="FootnoteTextChar"/>
    <w:uiPriority w:val="99"/>
    <w:semiHidden/>
    <w:unhideWhenUsed/>
    <w:rsid w:val="005716B6"/>
  </w:style>
  <w:style w:type="character" w:customStyle="1" w:styleId="FootnoteTextChar">
    <w:name w:val="Footnote Text Char"/>
    <w:basedOn w:val="DefaultParagraphFont"/>
    <w:link w:val="FootnoteText"/>
    <w:uiPriority w:val="99"/>
    <w:semiHidden/>
    <w:rsid w:val="005716B6"/>
  </w:style>
  <w:style w:type="character" w:styleId="FootnoteReference">
    <w:name w:val="footnote reference"/>
    <w:basedOn w:val="DefaultParagraphFont"/>
    <w:uiPriority w:val="99"/>
    <w:semiHidden/>
    <w:unhideWhenUsed/>
    <w:rsid w:val="005716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3603">
      <w:bodyDiv w:val="1"/>
      <w:marLeft w:val="0"/>
      <w:marRight w:val="0"/>
      <w:marTop w:val="0"/>
      <w:marBottom w:val="0"/>
      <w:divBdr>
        <w:top w:val="none" w:sz="0" w:space="0" w:color="auto"/>
        <w:left w:val="none" w:sz="0" w:space="0" w:color="auto"/>
        <w:bottom w:val="none" w:sz="0" w:space="0" w:color="auto"/>
        <w:right w:val="none" w:sz="0" w:space="0" w:color="auto"/>
      </w:divBdr>
    </w:div>
    <w:div w:id="63721838">
      <w:bodyDiv w:val="1"/>
      <w:marLeft w:val="0"/>
      <w:marRight w:val="0"/>
      <w:marTop w:val="0"/>
      <w:marBottom w:val="0"/>
      <w:divBdr>
        <w:top w:val="none" w:sz="0" w:space="0" w:color="auto"/>
        <w:left w:val="none" w:sz="0" w:space="0" w:color="auto"/>
        <w:bottom w:val="none" w:sz="0" w:space="0" w:color="auto"/>
        <w:right w:val="none" w:sz="0" w:space="0" w:color="auto"/>
      </w:divBdr>
    </w:div>
    <w:div w:id="105194887">
      <w:bodyDiv w:val="1"/>
      <w:marLeft w:val="0"/>
      <w:marRight w:val="0"/>
      <w:marTop w:val="0"/>
      <w:marBottom w:val="0"/>
      <w:divBdr>
        <w:top w:val="none" w:sz="0" w:space="0" w:color="auto"/>
        <w:left w:val="none" w:sz="0" w:space="0" w:color="auto"/>
        <w:bottom w:val="none" w:sz="0" w:space="0" w:color="auto"/>
        <w:right w:val="none" w:sz="0" w:space="0" w:color="auto"/>
      </w:divBdr>
    </w:div>
    <w:div w:id="131561890">
      <w:bodyDiv w:val="1"/>
      <w:marLeft w:val="0"/>
      <w:marRight w:val="0"/>
      <w:marTop w:val="0"/>
      <w:marBottom w:val="0"/>
      <w:divBdr>
        <w:top w:val="none" w:sz="0" w:space="0" w:color="auto"/>
        <w:left w:val="none" w:sz="0" w:space="0" w:color="auto"/>
        <w:bottom w:val="none" w:sz="0" w:space="0" w:color="auto"/>
        <w:right w:val="none" w:sz="0" w:space="0" w:color="auto"/>
      </w:divBdr>
    </w:div>
    <w:div w:id="139158121">
      <w:bodyDiv w:val="1"/>
      <w:marLeft w:val="0"/>
      <w:marRight w:val="0"/>
      <w:marTop w:val="0"/>
      <w:marBottom w:val="0"/>
      <w:divBdr>
        <w:top w:val="none" w:sz="0" w:space="0" w:color="auto"/>
        <w:left w:val="none" w:sz="0" w:space="0" w:color="auto"/>
        <w:bottom w:val="none" w:sz="0" w:space="0" w:color="auto"/>
        <w:right w:val="none" w:sz="0" w:space="0" w:color="auto"/>
      </w:divBdr>
    </w:div>
    <w:div w:id="148643932">
      <w:bodyDiv w:val="1"/>
      <w:marLeft w:val="0"/>
      <w:marRight w:val="0"/>
      <w:marTop w:val="0"/>
      <w:marBottom w:val="0"/>
      <w:divBdr>
        <w:top w:val="none" w:sz="0" w:space="0" w:color="auto"/>
        <w:left w:val="none" w:sz="0" w:space="0" w:color="auto"/>
        <w:bottom w:val="none" w:sz="0" w:space="0" w:color="auto"/>
        <w:right w:val="none" w:sz="0" w:space="0" w:color="auto"/>
      </w:divBdr>
    </w:div>
    <w:div w:id="198737297">
      <w:bodyDiv w:val="1"/>
      <w:marLeft w:val="0"/>
      <w:marRight w:val="0"/>
      <w:marTop w:val="0"/>
      <w:marBottom w:val="0"/>
      <w:divBdr>
        <w:top w:val="none" w:sz="0" w:space="0" w:color="auto"/>
        <w:left w:val="none" w:sz="0" w:space="0" w:color="auto"/>
        <w:bottom w:val="none" w:sz="0" w:space="0" w:color="auto"/>
        <w:right w:val="none" w:sz="0" w:space="0" w:color="auto"/>
      </w:divBdr>
    </w:div>
    <w:div w:id="201285990">
      <w:bodyDiv w:val="1"/>
      <w:marLeft w:val="0"/>
      <w:marRight w:val="0"/>
      <w:marTop w:val="0"/>
      <w:marBottom w:val="0"/>
      <w:divBdr>
        <w:top w:val="none" w:sz="0" w:space="0" w:color="auto"/>
        <w:left w:val="none" w:sz="0" w:space="0" w:color="auto"/>
        <w:bottom w:val="none" w:sz="0" w:space="0" w:color="auto"/>
        <w:right w:val="none" w:sz="0" w:space="0" w:color="auto"/>
      </w:divBdr>
    </w:div>
    <w:div w:id="212737662">
      <w:bodyDiv w:val="1"/>
      <w:marLeft w:val="0"/>
      <w:marRight w:val="0"/>
      <w:marTop w:val="0"/>
      <w:marBottom w:val="0"/>
      <w:divBdr>
        <w:top w:val="none" w:sz="0" w:space="0" w:color="auto"/>
        <w:left w:val="none" w:sz="0" w:space="0" w:color="auto"/>
        <w:bottom w:val="none" w:sz="0" w:space="0" w:color="auto"/>
        <w:right w:val="none" w:sz="0" w:space="0" w:color="auto"/>
      </w:divBdr>
    </w:div>
    <w:div w:id="269894402">
      <w:bodyDiv w:val="1"/>
      <w:marLeft w:val="0"/>
      <w:marRight w:val="0"/>
      <w:marTop w:val="0"/>
      <w:marBottom w:val="0"/>
      <w:divBdr>
        <w:top w:val="none" w:sz="0" w:space="0" w:color="auto"/>
        <w:left w:val="none" w:sz="0" w:space="0" w:color="auto"/>
        <w:bottom w:val="none" w:sz="0" w:space="0" w:color="auto"/>
        <w:right w:val="none" w:sz="0" w:space="0" w:color="auto"/>
      </w:divBdr>
    </w:div>
    <w:div w:id="293751262">
      <w:bodyDiv w:val="1"/>
      <w:marLeft w:val="0"/>
      <w:marRight w:val="0"/>
      <w:marTop w:val="0"/>
      <w:marBottom w:val="0"/>
      <w:divBdr>
        <w:top w:val="none" w:sz="0" w:space="0" w:color="auto"/>
        <w:left w:val="none" w:sz="0" w:space="0" w:color="auto"/>
        <w:bottom w:val="none" w:sz="0" w:space="0" w:color="auto"/>
        <w:right w:val="none" w:sz="0" w:space="0" w:color="auto"/>
      </w:divBdr>
    </w:div>
    <w:div w:id="347954221">
      <w:bodyDiv w:val="1"/>
      <w:marLeft w:val="0"/>
      <w:marRight w:val="0"/>
      <w:marTop w:val="0"/>
      <w:marBottom w:val="0"/>
      <w:divBdr>
        <w:top w:val="none" w:sz="0" w:space="0" w:color="auto"/>
        <w:left w:val="none" w:sz="0" w:space="0" w:color="auto"/>
        <w:bottom w:val="none" w:sz="0" w:space="0" w:color="auto"/>
        <w:right w:val="none" w:sz="0" w:space="0" w:color="auto"/>
      </w:divBdr>
    </w:div>
    <w:div w:id="353849453">
      <w:bodyDiv w:val="1"/>
      <w:marLeft w:val="0"/>
      <w:marRight w:val="0"/>
      <w:marTop w:val="0"/>
      <w:marBottom w:val="0"/>
      <w:divBdr>
        <w:top w:val="none" w:sz="0" w:space="0" w:color="auto"/>
        <w:left w:val="none" w:sz="0" w:space="0" w:color="auto"/>
        <w:bottom w:val="none" w:sz="0" w:space="0" w:color="auto"/>
        <w:right w:val="none" w:sz="0" w:space="0" w:color="auto"/>
      </w:divBdr>
    </w:div>
    <w:div w:id="360714918">
      <w:bodyDiv w:val="1"/>
      <w:marLeft w:val="0"/>
      <w:marRight w:val="0"/>
      <w:marTop w:val="0"/>
      <w:marBottom w:val="0"/>
      <w:divBdr>
        <w:top w:val="none" w:sz="0" w:space="0" w:color="auto"/>
        <w:left w:val="none" w:sz="0" w:space="0" w:color="auto"/>
        <w:bottom w:val="none" w:sz="0" w:space="0" w:color="auto"/>
        <w:right w:val="none" w:sz="0" w:space="0" w:color="auto"/>
      </w:divBdr>
    </w:div>
    <w:div w:id="480077463">
      <w:bodyDiv w:val="1"/>
      <w:marLeft w:val="0"/>
      <w:marRight w:val="0"/>
      <w:marTop w:val="0"/>
      <w:marBottom w:val="0"/>
      <w:divBdr>
        <w:top w:val="none" w:sz="0" w:space="0" w:color="auto"/>
        <w:left w:val="none" w:sz="0" w:space="0" w:color="auto"/>
        <w:bottom w:val="none" w:sz="0" w:space="0" w:color="auto"/>
        <w:right w:val="none" w:sz="0" w:space="0" w:color="auto"/>
      </w:divBdr>
    </w:div>
    <w:div w:id="507866462">
      <w:bodyDiv w:val="1"/>
      <w:marLeft w:val="0"/>
      <w:marRight w:val="0"/>
      <w:marTop w:val="0"/>
      <w:marBottom w:val="0"/>
      <w:divBdr>
        <w:top w:val="none" w:sz="0" w:space="0" w:color="auto"/>
        <w:left w:val="none" w:sz="0" w:space="0" w:color="auto"/>
        <w:bottom w:val="none" w:sz="0" w:space="0" w:color="auto"/>
        <w:right w:val="none" w:sz="0" w:space="0" w:color="auto"/>
      </w:divBdr>
    </w:div>
    <w:div w:id="553614805">
      <w:bodyDiv w:val="1"/>
      <w:marLeft w:val="0"/>
      <w:marRight w:val="0"/>
      <w:marTop w:val="0"/>
      <w:marBottom w:val="0"/>
      <w:divBdr>
        <w:top w:val="none" w:sz="0" w:space="0" w:color="auto"/>
        <w:left w:val="none" w:sz="0" w:space="0" w:color="auto"/>
        <w:bottom w:val="none" w:sz="0" w:space="0" w:color="auto"/>
        <w:right w:val="none" w:sz="0" w:space="0" w:color="auto"/>
      </w:divBdr>
    </w:div>
    <w:div w:id="577517812">
      <w:bodyDiv w:val="1"/>
      <w:marLeft w:val="0"/>
      <w:marRight w:val="0"/>
      <w:marTop w:val="0"/>
      <w:marBottom w:val="0"/>
      <w:divBdr>
        <w:top w:val="none" w:sz="0" w:space="0" w:color="auto"/>
        <w:left w:val="none" w:sz="0" w:space="0" w:color="auto"/>
        <w:bottom w:val="none" w:sz="0" w:space="0" w:color="auto"/>
        <w:right w:val="none" w:sz="0" w:space="0" w:color="auto"/>
      </w:divBdr>
    </w:div>
    <w:div w:id="593973505">
      <w:bodyDiv w:val="1"/>
      <w:marLeft w:val="0"/>
      <w:marRight w:val="0"/>
      <w:marTop w:val="0"/>
      <w:marBottom w:val="0"/>
      <w:divBdr>
        <w:top w:val="none" w:sz="0" w:space="0" w:color="auto"/>
        <w:left w:val="none" w:sz="0" w:space="0" w:color="auto"/>
        <w:bottom w:val="none" w:sz="0" w:space="0" w:color="auto"/>
        <w:right w:val="none" w:sz="0" w:space="0" w:color="auto"/>
      </w:divBdr>
    </w:div>
    <w:div w:id="651838124">
      <w:bodyDiv w:val="1"/>
      <w:marLeft w:val="0"/>
      <w:marRight w:val="0"/>
      <w:marTop w:val="0"/>
      <w:marBottom w:val="0"/>
      <w:divBdr>
        <w:top w:val="none" w:sz="0" w:space="0" w:color="auto"/>
        <w:left w:val="none" w:sz="0" w:space="0" w:color="auto"/>
        <w:bottom w:val="none" w:sz="0" w:space="0" w:color="auto"/>
        <w:right w:val="none" w:sz="0" w:space="0" w:color="auto"/>
      </w:divBdr>
    </w:div>
    <w:div w:id="665019734">
      <w:bodyDiv w:val="1"/>
      <w:marLeft w:val="0"/>
      <w:marRight w:val="0"/>
      <w:marTop w:val="0"/>
      <w:marBottom w:val="0"/>
      <w:divBdr>
        <w:top w:val="none" w:sz="0" w:space="0" w:color="auto"/>
        <w:left w:val="none" w:sz="0" w:space="0" w:color="auto"/>
        <w:bottom w:val="none" w:sz="0" w:space="0" w:color="auto"/>
        <w:right w:val="none" w:sz="0" w:space="0" w:color="auto"/>
      </w:divBdr>
    </w:div>
    <w:div w:id="700208035">
      <w:bodyDiv w:val="1"/>
      <w:marLeft w:val="0"/>
      <w:marRight w:val="0"/>
      <w:marTop w:val="0"/>
      <w:marBottom w:val="0"/>
      <w:divBdr>
        <w:top w:val="none" w:sz="0" w:space="0" w:color="auto"/>
        <w:left w:val="none" w:sz="0" w:space="0" w:color="auto"/>
        <w:bottom w:val="none" w:sz="0" w:space="0" w:color="auto"/>
        <w:right w:val="none" w:sz="0" w:space="0" w:color="auto"/>
      </w:divBdr>
    </w:div>
    <w:div w:id="741609081">
      <w:bodyDiv w:val="1"/>
      <w:marLeft w:val="0"/>
      <w:marRight w:val="0"/>
      <w:marTop w:val="0"/>
      <w:marBottom w:val="0"/>
      <w:divBdr>
        <w:top w:val="none" w:sz="0" w:space="0" w:color="auto"/>
        <w:left w:val="none" w:sz="0" w:space="0" w:color="auto"/>
        <w:bottom w:val="none" w:sz="0" w:space="0" w:color="auto"/>
        <w:right w:val="none" w:sz="0" w:space="0" w:color="auto"/>
      </w:divBdr>
    </w:div>
    <w:div w:id="784545078">
      <w:bodyDiv w:val="1"/>
      <w:marLeft w:val="0"/>
      <w:marRight w:val="0"/>
      <w:marTop w:val="0"/>
      <w:marBottom w:val="0"/>
      <w:divBdr>
        <w:top w:val="none" w:sz="0" w:space="0" w:color="auto"/>
        <w:left w:val="none" w:sz="0" w:space="0" w:color="auto"/>
        <w:bottom w:val="none" w:sz="0" w:space="0" w:color="auto"/>
        <w:right w:val="none" w:sz="0" w:space="0" w:color="auto"/>
      </w:divBdr>
    </w:div>
    <w:div w:id="794832408">
      <w:bodyDiv w:val="1"/>
      <w:marLeft w:val="0"/>
      <w:marRight w:val="0"/>
      <w:marTop w:val="0"/>
      <w:marBottom w:val="0"/>
      <w:divBdr>
        <w:top w:val="none" w:sz="0" w:space="0" w:color="auto"/>
        <w:left w:val="none" w:sz="0" w:space="0" w:color="auto"/>
        <w:bottom w:val="none" w:sz="0" w:space="0" w:color="auto"/>
        <w:right w:val="none" w:sz="0" w:space="0" w:color="auto"/>
      </w:divBdr>
    </w:div>
    <w:div w:id="803547014">
      <w:bodyDiv w:val="1"/>
      <w:marLeft w:val="0"/>
      <w:marRight w:val="0"/>
      <w:marTop w:val="0"/>
      <w:marBottom w:val="0"/>
      <w:divBdr>
        <w:top w:val="none" w:sz="0" w:space="0" w:color="auto"/>
        <w:left w:val="none" w:sz="0" w:space="0" w:color="auto"/>
        <w:bottom w:val="none" w:sz="0" w:space="0" w:color="auto"/>
        <w:right w:val="none" w:sz="0" w:space="0" w:color="auto"/>
      </w:divBdr>
    </w:div>
    <w:div w:id="859006522">
      <w:bodyDiv w:val="1"/>
      <w:marLeft w:val="0"/>
      <w:marRight w:val="0"/>
      <w:marTop w:val="0"/>
      <w:marBottom w:val="0"/>
      <w:divBdr>
        <w:top w:val="none" w:sz="0" w:space="0" w:color="auto"/>
        <w:left w:val="none" w:sz="0" w:space="0" w:color="auto"/>
        <w:bottom w:val="none" w:sz="0" w:space="0" w:color="auto"/>
        <w:right w:val="none" w:sz="0" w:space="0" w:color="auto"/>
      </w:divBdr>
    </w:div>
    <w:div w:id="862789301">
      <w:bodyDiv w:val="1"/>
      <w:marLeft w:val="0"/>
      <w:marRight w:val="0"/>
      <w:marTop w:val="0"/>
      <w:marBottom w:val="0"/>
      <w:divBdr>
        <w:top w:val="none" w:sz="0" w:space="0" w:color="auto"/>
        <w:left w:val="none" w:sz="0" w:space="0" w:color="auto"/>
        <w:bottom w:val="none" w:sz="0" w:space="0" w:color="auto"/>
        <w:right w:val="none" w:sz="0" w:space="0" w:color="auto"/>
      </w:divBdr>
    </w:div>
    <w:div w:id="868564591">
      <w:bodyDiv w:val="1"/>
      <w:marLeft w:val="0"/>
      <w:marRight w:val="0"/>
      <w:marTop w:val="0"/>
      <w:marBottom w:val="0"/>
      <w:divBdr>
        <w:top w:val="none" w:sz="0" w:space="0" w:color="auto"/>
        <w:left w:val="none" w:sz="0" w:space="0" w:color="auto"/>
        <w:bottom w:val="none" w:sz="0" w:space="0" w:color="auto"/>
        <w:right w:val="none" w:sz="0" w:space="0" w:color="auto"/>
      </w:divBdr>
    </w:div>
    <w:div w:id="884440993">
      <w:bodyDiv w:val="1"/>
      <w:marLeft w:val="0"/>
      <w:marRight w:val="0"/>
      <w:marTop w:val="0"/>
      <w:marBottom w:val="0"/>
      <w:divBdr>
        <w:top w:val="none" w:sz="0" w:space="0" w:color="auto"/>
        <w:left w:val="none" w:sz="0" w:space="0" w:color="auto"/>
        <w:bottom w:val="none" w:sz="0" w:space="0" w:color="auto"/>
        <w:right w:val="none" w:sz="0" w:space="0" w:color="auto"/>
      </w:divBdr>
    </w:div>
    <w:div w:id="891499943">
      <w:bodyDiv w:val="1"/>
      <w:marLeft w:val="0"/>
      <w:marRight w:val="0"/>
      <w:marTop w:val="0"/>
      <w:marBottom w:val="0"/>
      <w:divBdr>
        <w:top w:val="none" w:sz="0" w:space="0" w:color="auto"/>
        <w:left w:val="none" w:sz="0" w:space="0" w:color="auto"/>
        <w:bottom w:val="none" w:sz="0" w:space="0" w:color="auto"/>
        <w:right w:val="none" w:sz="0" w:space="0" w:color="auto"/>
      </w:divBdr>
    </w:div>
    <w:div w:id="910430274">
      <w:bodyDiv w:val="1"/>
      <w:marLeft w:val="0"/>
      <w:marRight w:val="0"/>
      <w:marTop w:val="0"/>
      <w:marBottom w:val="0"/>
      <w:divBdr>
        <w:top w:val="none" w:sz="0" w:space="0" w:color="auto"/>
        <w:left w:val="none" w:sz="0" w:space="0" w:color="auto"/>
        <w:bottom w:val="none" w:sz="0" w:space="0" w:color="auto"/>
        <w:right w:val="none" w:sz="0" w:space="0" w:color="auto"/>
      </w:divBdr>
    </w:div>
    <w:div w:id="974799195">
      <w:bodyDiv w:val="1"/>
      <w:marLeft w:val="0"/>
      <w:marRight w:val="0"/>
      <w:marTop w:val="0"/>
      <w:marBottom w:val="0"/>
      <w:divBdr>
        <w:top w:val="none" w:sz="0" w:space="0" w:color="auto"/>
        <w:left w:val="none" w:sz="0" w:space="0" w:color="auto"/>
        <w:bottom w:val="none" w:sz="0" w:space="0" w:color="auto"/>
        <w:right w:val="none" w:sz="0" w:space="0" w:color="auto"/>
      </w:divBdr>
    </w:div>
    <w:div w:id="975791496">
      <w:bodyDiv w:val="1"/>
      <w:marLeft w:val="0"/>
      <w:marRight w:val="0"/>
      <w:marTop w:val="0"/>
      <w:marBottom w:val="0"/>
      <w:divBdr>
        <w:top w:val="none" w:sz="0" w:space="0" w:color="auto"/>
        <w:left w:val="none" w:sz="0" w:space="0" w:color="auto"/>
        <w:bottom w:val="none" w:sz="0" w:space="0" w:color="auto"/>
        <w:right w:val="none" w:sz="0" w:space="0" w:color="auto"/>
      </w:divBdr>
    </w:div>
    <w:div w:id="980885641">
      <w:bodyDiv w:val="1"/>
      <w:marLeft w:val="0"/>
      <w:marRight w:val="0"/>
      <w:marTop w:val="0"/>
      <w:marBottom w:val="0"/>
      <w:divBdr>
        <w:top w:val="none" w:sz="0" w:space="0" w:color="auto"/>
        <w:left w:val="none" w:sz="0" w:space="0" w:color="auto"/>
        <w:bottom w:val="none" w:sz="0" w:space="0" w:color="auto"/>
        <w:right w:val="none" w:sz="0" w:space="0" w:color="auto"/>
      </w:divBdr>
    </w:div>
    <w:div w:id="1040858424">
      <w:bodyDiv w:val="1"/>
      <w:marLeft w:val="0"/>
      <w:marRight w:val="0"/>
      <w:marTop w:val="0"/>
      <w:marBottom w:val="0"/>
      <w:divBdr>
        <w:top w:val="none" w:sz="0" w:space="0" w:color="auto"/>
        <w:left w:val="none" w:sz="0" w:space="0" w:color="auto"/>
        <w:bottom w:val="none" w:sz="0" w:space="0" w:color="auto"/>
        <w:right w:val="none" w:sz="0" w:space="0" w:color="auto"/>
      </w:divBdr>
    </w:div>
    <w:div w:id="1043871327">
      <w:bodyDiv w:val="1"/>
      <w:marLeft w:val="0"/>
      <w:marRight w:val="0"/>
      <w:marTop w:val="0"/>
      <w:marBottom w:val="0"/>
      <w:divBdr>
        <w:top w:val="none" w:sz="0" w:space="0" w:color="auto"/>
        <w:left w:val="none" w:sz="0" w:space="0" w:color="auto"/>
        <w:bottom w:val="none" w:sz="0" w:space="0" w:color="auto"/>
        <w:right w:val="none" w:sz="0" w:space="0" w:color="auto"/>
      </w:divBdr>
    </w:div>
    <w:div w:id="1053426767">
      <w:bodyDiv w:val="1"/>
      <w:marLeft w:val="0"/>
      <w:marRight w:val="0"/>
      <w:marTop w:val="0"/>
      <w:marBottom w:val="0"/>
      <w:divBdr>
        <w:top w:val="none" w:sz="0" w:space="0" w:color="auto"/>
        <w:left w:val="none" w:sz="0" w:space="0" w:color="auto"/>
        <w:bottom w:val="none" w:sz="0" w:space="0" w:color="auto"/>
        <w:right w:val="none" w:sz="0" w:space="0" w:color="auto"/>
      </w:divBdr>
    </w:div>
    <w:div w:id="1165902133">
      <w:bodyDiv w:val="1"/>
      <w:marLeft w:val="0"/>
      <w:marRight w:val="0"/>
      <w:marTop w:val="0"/>
      <w:marBottom w:val="0"/>
      <w:divBdr>
        <w:top w:val="none" w:sz="0" w:space="0" w:color="auto"/>
        <w:left w:val="none" w:sz="0" w:space="0" w:color="auto"/>
        <w:bottom w:val="none" w:sz="0" w:space="0" w:color="auto"/>
        <w:right w:val="none" w:sz="0" w:space="0" w:color="auto"/>
      </w:divBdr>
    </w:div>
    <w:div w:id="1239514610">
      <w:bodyDiv w:val="1"/>
      <w:marLeft w:val="0"/>
      <w:marRight w:val="0"/>
      <w:marTop w:val="0"/>
      <w:marBottom w:val="0"/>
      <w:divBdr>
        <w:top w:val="none" w:sz="0" w:space="0" w:color="auto"/>
        <w:left w:val="none" w:sz="0" w:space="0" w:color="auto"/>
        <w:bottom w:val="none" w:sz="0" w:space="0" w:color="auto"/>
        <w:right w:val="none" w:sz="0" w:space="0" w:color="auto"/>
      </w:divBdr>
    </w:div>
    <w:div w:id="1250501798">
      <w:bodyDiv w:val="1"/>
      <w:marLeft w:val="0"/>
      <w:marRight w:val="0"/>
      <w:marTop w:val="0"/>
      <w:marBottom w:val="0"/>
      <w:divBdr>
        <w:top w:val="none" w:sz="0" w:space="0" w:color="auto"/>
        <w:left w:val="none" w:sz="0" w:space="0" w:color="auto"/>
        <w:bottom w:val="none" w:sz="0" w:space="0" w:color="auto"/>
        <w:right w:val="none" w:sz="0" w:space="0" w:color="auto"/>
      </w:divBdr>
    </w:div>
    <w:div w:id="1253926891">
      <w:bodyDiv w:val="1"/>
      <w:marLeft w:val="0"/>
      <w:marRight w:val="0"/>
      <w:marTop w:val="0"/>
      <w:marBottom w:val="0"/>
      <w:divBdr>
        <w:top w:val="none" w:sz="0" w:space="0" w:color="auto"/>
        <w:left w:val="none" w:sz="0" w:space="0" w:color="auto"/>
        <w:bottom w:val="none" w:sz="0" w:space="0" w:color="auto"/>
        <w:right w:val="none" w:sz="0" w:space="0" w:color="auto"/>
      </w:divBdr>
    </w:div>
    <w:div w:id="1270091243">
      <w:bodyDiv w:val="1"/>
      <w:marLeft w:val="0"/>
      <w:marRight w:val="0"/>
      <w:marTop w:val="0"/>
      <w:marBottom w:val="0"/>
      <w:divBdr>
        <w:top w:val="none" w:sz="0" w:space="0" w:color="auto"/>
        <w:left w:val="none" w:sz="0" w:space="0" w:color="auto"/>
        <w:bottom w:val="none" w:sz="0" w:space="0" w:color="auto"/>
        <w:right w:val="none" w:sz="0" w:space="0" w:color="auto"/>
      </w:divBdr>
    </w:div>
    <w:div w:id="1356689091">
      <w:bodyDiv w:val="1"/>
      <w:marLeft w:val="0"/>
      <w:marRight w:val="0"/>
      <w:marTop w:val="0"/>
      <w:marBottom w:val="0"/>
      <w:divBdr>
        <w:top w:val="none" w:sz="0" w:space="0" w:color="auto"/>
        <w:left w:val="none" w:sz="0" w:space="0" w:color="auto"/>
        <w:bottom w:val="none" w:sz="0" w:space="0" w:color="auto"/>
        <w:right w:val="none" w:sz="0" w:space="0" w:color="auto"/>
      </w:divBdr>
    </w:div>
    <w:div w:id="1358700726">
      <w:bodyDiv w:val="1"/>
      <w:marLeft w:val="0"/>
      <w:marRight w:val="0"/>
      <w:marTop w:val="0"/>
      <w:marBottom w:val="0"/>
      <w:divBdr>
        <w:top w:val="none" w:sz="0" w:space="0" w:color="auto"/>
        <w:left w:val="none" w:sz="0" w:space="0" w:color="auto"/>
        <w:bottom w:val="none" w:sz="0" w:space="0" w:color="auto"/>
        <w:right w:val="none" w:sz="0" w:space="0" w:color="auto"/>
      </w:divBdr>
    </w:div>
    <w:div w:id="1385982520">
      <w:bodyDiv w:val="1"/>
      <w:marLeft w:val="0"/>
      <w:marRight w:val="0"/>
      <w:marTop w:val="0"/>
      <w:marBottom w:val="0"/>
      <w:divBdr>
        <w:top w:val="none" w:sz="0" w:space="0" w:color="auto"/>
        <w:left w:val="none" w:sz="0" w:space="0" w:color="auto"/>
        <w:bottom w:val="none" w:sz="0" w:space="0" w:color="auto"/>
        <w:right w:val="none" w:sz="0" w:space="0" w:color="auto"/>
      </w:divBdr>
    </w:div>
    <w:div w:id="1386564917">
      <w:bodyDiv w:val="1"/>
      <w:marLeft w:val="0"/>
      <w:marRight w:val="0"/>
      <w:marTop w:val="0"/>
      <w:marBottom w:val="0"/>
      <w:divBdr>
        <w:top w:val="none" w:sz="0" w:space="0" w:color="auto"/>
        <w:left w:val="none" w:sz="0" w:space="0" w:color="auto"/>
        <w:bottom w:val="none" w:sz="0" w:space="0" w:color="auto"/>
        <w:right w:val="none" w:sz="0" w:space="0" w:color="auto"/>
      </w:divBdr>
    </w:div>
    <w:div w:id="1398242549">
      <w:bodyDiv w:val="1"/>
      <w:marLeft w:val="0"/>
      <w:marRight w:val="0"/>
      <w:marTop w:val="0"/>
      <w:marBottom w:val="0"/>
      <w:divBdr>
        <w:top w:val="none" w:sz="0" w:space="0" w:color="auto"/>
        <w:left w:val="none" w:sz="0" w:space="0" w:color="auto"/>
        <w:bottom w:val="none" w:sz="0" w:space="0" w:color="auto"/>
        <w:right w:val="none" w:sz="0" w:space="0" w:color="auto"/>
      </w:divBdr>
    </w:div>
    <w:div w:id="1406758188">
      <w:bodyDiv w:val="1"/>
      <w:marLeft w:val="0"/>
      <w:marRight w:val="0"/>
      <w:marTop w:val="0"/>
      <w:marBottom w:val="0"/>
      <w:divBdr>
        <w:top w:val="none" w:sz="0" w:space="0" w:color="auto"/>
        <w:left w:val="none" w:sz="0" w:space="0" w:color="auto"/>
        <w:bottom w:val="none" w:sz="0" w:space="0" w:color="auto"/>
        <w:right w:val="none" w:sz="0" w:space="0" w:color="auto"/>
      </w:divBdr>
    </w:div>
    <w:div w:id="1419448477">
      <w:bodyDiv w:val="1"/>
      <w:marLeft w:val="0"/>
      <w:marRight w:val="0"/>
      <w:marTop w:val="0"/>
      <w:marBottom w:val="0"/>
      <w:divBdr>
        <w:top w:val="none" w:sz="0" w:space="0" w:color="auto"/>
        <w:left w:val="none" w:sz="0" w:space="0" w:color="auto"/>
        <w:bottom w:val="none" w:sz="0" w:space="0" w:color="auto"/>
        <w:right w:val="none" w:sz="0" w:space="0" w:color="auto"/>
      </w:divBdr>
    </w:div>
    <w:div w:id="1481339776">
      <w:bodyDiv w:val="1"/>
      <w:marLeft w:val="0"/>
      <w:marRight w:val="0"/>
      <w:marTop w:val="0"/>
      <w:marBottom w:val="0"/>
      <w:divBdr>
        <w:top w:val="none" w:sz="0" w:space="0" w:color="auto"/>
        <w:left w:val="none" w:sz="0" w:space="0" w:color="auto"/>
        <w:bottom w:val="none" w:sz="0" w:space="0" w:color="auto"/>
        <w:right w:val="none" w:sz="0" w:space="0" w:color="auto"/>
      </w:divBdr>
    </w:div>
    <w:div w:id="1493982866">
      <w:bodyDiv w:val="1"/>
      <w:marLeft w:val="0"/>
      <w:marRight w:val="0"/>
      <w:marTop w:val="0"/>
      <w:marBottom w:val="0"/>
      <w:divBdr>
        <w:top w:val="none" w:sz="0" w:space="0" w:color="auto"/>
        <w:left w:val="none" w:sz="0" w:space="0" w:color="auto"/>
        <w:bottom w:val="none" w:sz="0" w:space="0" w:color="auto"/>
        <w:right w:val="none" w:sz="0" w:space="0" w:color="auto"/>
      </w:divBdr>
    </w:div>
    <w:div w:id="1494956005">
      <w:bodyDiv w:val="1"/>
      <w:marLeft w:val="0"/>
      <w:marRight w:val="0"/>
      <w:marTop w:val="0"/>
      <w:marBottom w:val="0"/>
      <w:divBdr>
        <w:top w:val="none" w:sz="0" w:space="0" w:color="auto"/>
        <w:left w:val="none" w:sz="0" w:space="0" w:color="auto"/>
        <w:bottom w:val="none" w:sz="0" w:space="0" w:color="auto"/>
        <w:right w:val="none" w:sz="0" w:space="0" w:color="auto"/>
      </w:divBdr>
    </w:div>
    <w:div w:id="1541357651">
      <w:bodyDiv w:val="1"/>
      <w:marLeft w:val="0"/>
      <w:marRight w:val="0"/>
      <w:marTop w:val="0"/>
      <w:marBottom w:val="0"/>
      <w:divBdr>
        <w:top w:val="none" w:sz="0" w:space="0" w:color="auto"/>
        <w:left w:val="none" w:sz="0" w:space="0" w:color="auto"/>
        <w:bottom w:val="none" w:sz="0" w:space="0" w:color="auto"/>
        <w:right w:val="none" w:sz="0" w:space="0" w:color="auto"/>
      </w:divBdr>
    </w:div>
    <w:div w:id="1545948912">
      <w:bodyDiv w:val="1"/>
      <w:marLeft w:val="0"/>
      <w:marRight w:val="0"/>
      <w:marTop w:val="0"/>
      <w:marBottom w:val="0"/>
      <w:divBdr>
        <w:top w:val="none" w:sz="0" w:space="0" w:color="auto"/>
        <w:left w:val="none" w:sz="0" w:space="0" w:color="auto"/>
        <w:bottom w:val="none" w:sz="0" w:space="0" w:color="auto"/>
        <w:right w:val="none" w:sz="0" w:space="0" w:color="auto"/>
      </w:divBdr>
    </w:div>
    <w:div w:id="1564295972">
      <w:bodyDiv w:val="1"/>
      <w:marLeft w:val="0"/>
      <w:marRight w:val="0"/>
      <w:marTop w:val="0"/>
      <w:marBottom w:val="0"/>
      <w:divBdr>
        <w:top w:val="none" w:sz="0" w:space="0" w:color="auto"/>
        <w:left w:val="none" w:sz="0" w:space="0" w:color="auto"/>
        <w:bottom w:val="none" w:sz="0" w:space="0" w:color="auto"/>
        <w:right w:val="none" w:sz="0" w:space="0" w:color="auto"/>
      </w:divBdr>
    </w:div>
    <w:div w:id="1618487549">
      <w:bodyDiv w:val="1"/>
      <w:marLeft w:val="0"/>
      <w:marRight w:val="0"/>
      <w:marTop w:val="0"/>
      <w:marBottom w:val="0"/>
      <w:divBdr>
        <w:top w:val="none" w:sz="0" w:space="0" w:color="auto"/>
        <w:left w:val="none" w:sz="0" w:space="0" w:color="auto"/>
        <w:bottom w:val="none" w:sz="0" w:space="0" w:color="auto"/>
        <w:right w:val="none" w:sz="0" w:space="0" w:color="auto"/>
      </w:divBdr>
    </w:div>
    <w:div w:id="1716613855">
      <w:bodyDiv w:val="1"/>
      <w:marLeft w:val="0"/>
      <w:marRight w:val="0"/>
      <w:marTop w:val="0"/>
      <w:marBottom w:val="0"/>
      <w:divBdr>
        <w:top w:val="none" w:sz="0" w:space="0" w:color="auto"/>
        <w:left w:val="none" w:sz="0" w:space="0" w:color="auto"/>
        <w:bottom w:val="none" w:sz="0" w:space="0" w:color="auto"/>
        <w:right w:val="none" w:sz="0" w:space="0" w:color="auto"/>
      </w:divBdr>
    </w:div>
    <w:div w:id="1721323920">
      <w:bodyDiv w:val="1"/>
      <w:marLeft w:val="0"/>
      <w:marRight w:val="0"/>
      <w:marTop w:val="0"/>
      <w:marBottom w:val="0"/>
      <w:divBdr>
        <w:top w:val="none" w:sz="0" w:space="0" w:color="auto"/>
        <w:left w:val="none" w:sz="0" w:space="0" w:color="auto"/>
        <w:bottom w:val="none" w:sz="0" w:space="0" w:color="auto"/>
        <w:right w:val="none" w:sz="0" w:space="0" w:color="auto"/>
      </w:divBdr>
    </w:div>
    <w:div w:id="1732775858">
      <w:bodyDiv w:val="1"/>
      <w:marLeft w:val="0"/>
      <w:marRight w:val="0"/>
      <w:marTop w:val="0"/>
      <w:marBottom w:val="0"/>
      <w:divBdr>
        <w:top w:val="none" w:sz="0" w:space="0" w:color="auto"/>
        <w:left w:val="none" w:sz="0" w:space="0" w:color="auto"/>
        <w:bottom w:val="none" w:sz="0" w:space="0" w:color="auto"/>
        <w:right w:val="none" w:sz="0" w:space="0" w:color="auto"/>
      </w:divBdr>
    </w:div>
    <w:div w:id="1784614569">
      <w:bodyDiv w:val="1"/>
      <w:marLeft w:val="0"/>
      <w:marRight w:val="0"/>
      <w:marTop w:val="0"/>
      <w:marBottom w:val="0"/>
      <w:divBdr>
        <w:top w:val="none" w:sz="0" w:space="0" w:color="auto"/>
        <w:left w:val="none" w:sz="0" w:space="0" w:color="auto"/>
        <w:bottom w:val="none" w:sz="0" w:space="0" w:color="auto"/>
        <w:right w:val="none" w:sz="0" w:space="0" w:color="auto"/>
      </w:divBdr>
    </w:div>
    <w:div w:id="1830319790">
      <w:bodyDiv w:val="1"/>
      <w:marLeft w:val="0"/>
      <w:marRight w:val="0"/>
      <w:marTop w:val="0"/>
      <w:marBottom w:val="0"/>
      <w:divBdr>
        <w:top w:val="none" w:sz="0" w:space="0" w:color="auto"/>
        <w:left w:val="none" w:sz="0" w:space="0" w:color="auto"/>
        <w:bottom w:val="none" w:sz="0" w:space="0" w:color="auto"/>
        <w:right w:val="none" w:sz="0" w:space="0" w:color="auto"/>
      </w:divBdr>
    </w:div>
    <w:div w:id="1841968835">
      <w:bodyDiv w:val="1"/>
      <w:marLeft w:val="0"/>
      <w:marRight w:val="0"/>
      <w:marTop w:val="0"/>
      <w:marBottom w:val="0"/>
      <w:divBdr>
        <w:top w:val="none" w:sz="0" w:space="0" w:color="auto"/>
        <w:left w:val="none" w:sz="0" w:space="0" w:color="auto"/>
        <w:bottom w:val="none" w:sz="0" w:space="0" w:color="auto"/>
        <w:right w:val="none" w:sz="0" w:space="0" w:color="auto"/>
      </w:divBdr>
    </w:div>
    <w:div w:id="1847941594">
      <w:bodyDiv w:val="1"/>
      <w:marLeft w:val="0"/>
      <w:marRight w:val="0"/>
      <w:marTop w:val="0"/>
      <w:marBottom w:val="0"/>
      <w:divBdr>
        <w:top w:val="none" w:sz="0" w:space="0" w:color="auto"/>
        <w:left w:val="none" w:sz="0" w:space="0" w:color="auto"/>
        <w:bottom w:val="none" w:sz="0" w:space="0" w:color="auto"/>
        <w:right w:val="none" w:sz="0" w:space="0" w:color="auto"/>
      </w:divBdr>
    </w:div>
    <w:div w:id="1884244924">
      <w:bodyDiv w:val="1"/>
      <w:marLeft w:val="0"/>
      <w:marRight w:val="0"/>
      <w:marTop w:val="0"/>
      <w:marBottom w:val="0"/>
      <w:divBdr>
        <w:top w:val="none" w:sz="0" w:space="0" w:color="auto"/>
        <w:left w:val="none" w:sz="0" w:space="0" w:color="auto"/>
        <w:bottom w:val="none" w:sz="0" w:space="0" w:color="auto"/>
        <w:right w:val="none" w:sz="0" w:space="0" w:color="auto"/>
      </w:divBdr>
    </w:div>
    <w:div w:id="1903439031">
      <w:bodyDiv w:val="1"/>
      <w:marLeft w:val="0"/>
      <w:marRight w:val="0"/>
      <w:marTop w:val="0"/>
      <w:marBottom w:val="0"/>
      <w:divBdr>
        <w:top w:val="none" w:sz="0" w:space="0" w:color="auto"/>
        <w:left w:val="none" w:sz="0" w:space="0" w:color="auto"/>
        <w:bottom w:val="none" w:sz="0" w:space="0" w:color="auto"/>
        <w:right w:val="none" w:sz="0" w:space="0" w:color="auto"/>
      </w:divBdr>
    </w:div>
    <w:div w:id="1954819371">
      <w:bodyDiv w:val="1"/>
      <w:marLeft w:val="0"/>
      <w:marRight w:val="0"/>
      <w:marTop w:val="0"/>
      <w:marBottom w:val="0"/>
      <w:divBdr>
        <w:top w:val="none" w:sz="0" w:space="0" w:color="auto"/>
        <w:left w:val="none" w:sz="0" w:space="0" w:color="auto"/>
        <w:bottom w:val="none" w:sz="0" w:space="0" w:color="auto"/>
        <w:right w:val="none" w:sz="0" w:space="0" w:color="auto"/>
      </w:divBdr>
    </w:div>
    <w:div w:id="1967737467">
      <w:bodyDiv w:val="1"/>
      <w:marLeft w:val="0"/>
      <w:marRight w:val="0"/>
      <w:marTop w:val="0"/>
      <w:marBottom w:val="0"/>
      <w:divBdr>
        <w:top w:val="none" w:sz="0" w:space="0" w:color="auto"/>
        <w:left w:val="none" w:sz="0" w:space="0" w:color="auto"/>
        <w:bottom w:val="none" w:sz="0" w:space="0" w:color="auto"/>
        <w:right w:val="none" w:sz="0" w:space="0" w:color="auto"/>
      </w:divBdr>
    </w:div>
    <w:div w:id="1975866455">
      <w:bodyDiv w:val="1"/>
      <w:marLeft w:val="0"/>
      <w:marRight w:val="0"/>
      <w:marTop w:val="0"/>
      <w:marBottom w:val="0"/>
      <w:divBdr>
        <w:top w:val="none" w:sz="0" w:space="0" w:color="auto"/>
        <w:left w:val="none" w:sz="0" w:space="0" w:color="auto"/>
        <w:bottom w:val="none" w:sz="0" w:space="0" w:color="auto"/>
        <w:right w:val="none" w:sz="0" w:space="0" w:color="auto"/>
      </w:divBdr>
    </w:div>
    <w:div w:id="2024474571">
      <w:bodyDiv w:val="1"/>
      <w:marLeft w:val="0"/>
      <w:marRight w:val="0"/>
      <w:marTop w:val="0"/>
      <w:marBottom w:val="0"/>
      <w:divBdr>
        <w:top w:val="none" w:sz="0" w:space="0" w:color="auto"/>
        <w:left w:val="none" w:sz="0" w:space="0" w:color="auto"/>
        <w:bottom w:val="none" w:sz="0" w:space="0" w:color="auto"/>
        <w:right w:val="none" w:sz="0" w:space="0" w:color="auto"/>
      </w:divBdr>
    </w:div>
    <w:div w:id="2106223921">
      <w:bodyDiv w:val="1"/>
      <w:marLeft w:val="0"/>
      <w:marRight w:val="0"/>
      <w:marTop w:val="0"/>
      <w:marBottom w:val="0"/>
      <w:divBdr>
        <w:top w:val="none" w:sz="0" w:space="0" w:color="auto"/>
        <w:left w:val="none" w:sz="0" w:space="0" w:color="auto"/>
        <w:bottom w:val="none" w:sz="0" w:space="0" w:color="auto"/>
        <w:right w:val="none" w:sz="0" w:space="0" w:color="auto"/>
      </w:divBdr>
    </w:div>
    <w:div w:id="21396855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microsoft.com/office/2011/relationships/commentsExtended" Target="commentsExtended.xml"/><Relationship Id="rId1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D5F39-6EAF-1141-81ED-CF00F457F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1131</Words>
  <Characters>6449</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Hershaw</dc:creator>
  <cp:keywords/>
  <dc:description/>
  <cp:lastModifiedBy>eva</cp:lastModifiedBy>
  <cp:revision>2</cp:revision>
  <cp:lastPrinted>2018-05-11T16:54:00Z</cp:lastPrinted>
  <dcterms:created xsi:type="dcterms:W3CDTF">2019-07-01T11:47:00Z</dcterms:created>
  <dcterms:modified xsi:type="dcterms:W3CDTF">2019-07-01T11:47:00Z</dcterms:modified>
</cp:coreProperties>
</file>